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40EA37" w14:textId="77777777" w:rsidR="00C82F02" w:rsidRPr="00C82F02" w:rsidRDefault="00C82F02" w:rsidP="00C82F02">
      <w:pPr>
        <w:tabs>
          <w:tab w:val="right" w:pos="10800"/>
        </w:tabs>
        <w:ind w:firstLine="0"/>
        <w:jc w:val="center"/>
        <w:rPr>
          <w:rFonts w:ascii="Old English Text MT" w:hAnsi="Old English Text MT"/>
          <w:sz w:val="72"/>
          <w:szCs w:val="72"/>
        </w:rPr>
      </w:pPr>
      <w:r w:rsidRPr="00C82F02">
        <w:rPr>
          <w:rFonts w:ascii="Old English Text MT" w:hAnsi="Old English Text MT"/>
          <w:sz w:val="72"/>
          <w:szCs w:val="72"/>
        </w:rPr>
        <w:t>Connecticut Code Chronicle</w:t>
      </w:r>
    </w:p>
    <w:p w14:paraId="766607D5" w14:textId="77777777" w:rsidR="00C82F02" w:rsidRPr="00C82F02" w:rsidRDefault="00C82F02" w:rsidP="00C82F02">
      <w:pPr>
        <w:tabs>
          <w:tab w:val="right" w:pos="10800"/>
        </w:tabs>
        <w:ind w:firstLine="0"/>
        <w:jc w:val="center"/>
      </w:pPr>
      <w:r w:rsidRPr="00C82F02">
        <w:t>An occasional publication by Harwood Wallace Loomis, Consulting Architect,</w:t>
      </w:r>
    </w:p>
    <w:p w14:paraId="43477E00" w14:textId="77777777" w:rsidR="00C82F02" w:rsidRPr="00C82F02" w:rsidRDefault="00C82F02" w:rsidP="00C82F02">
      <w:pPr>
        <w:tabs>
          <w:tab w:val="right" w:pos="10800"/>
        </w:tabs>
        <w:ind w:firstLine="0"/>
        <w:jc w:val="center"/>
      </w:pPr>
      <w:r w:rsidRPr="00C82F02">
        <w:t>for the use and information of the design and code enforcement communities</w:t>
      </w:r>
    </w:p>
    <w:p w14:paraId="403DB1E9" w14:textId="77777777" w:rsidR="00C82F02" w:rsidRDefault="00C82F02" w:rsidP="00C82F02">
      <w:pPr>
        <w:tabs>
          <w:tab w:val="right" w:pos="10800"/>
        </w:tabs>
        <w:ind w:firstLine="0"/>
        <w:rPr>
          <w:rFonts w:ascii="Avignon Pro" w:hAnsi="Avignon Pro"/>
        </w:rPr>
      </w:pPr>
    </w:p>
    <w:p w14:paraId="16D8EE64" w14:textId="22AA4A26" w:rsidR="007D28B9" w:rsidRPr="009B7167" w:rsidRDefault="00B846D5" w:rsidP="00C82F02">
      <w:pPr>
        <w:pBdr>
          <w:top w:val="single" w:sz="4" w:space="1" w:color="auto"/>
          <w:bottom w:val="single" w:sz="4" w:space="1" w:color="auto"/>
        </w:pBdr>
        <w:tabs>
          <w:tab w:val="right" w:pos="10800"/>
        </w:tabs>
        <w:ind w:firstLine="0"/>
        <w:rPr>
          <w:rFonts w:ascii="Avignon Pro" w:hAnsi="Avignon Pro"/>
        </w:rPr>
      </w:pPr>
      <w:r w:rsidRPr="009B7167">
        <w:rPr>
          <w:rFonts w:ascii="Avignon Pro" w:hAnsi="Avignon Pro"/>
        </w:rPr>
        <w:t>VOLUME X</w:t>
      </w:r>
      <w:r w:rsidR="000D3091">
        <w:rPr>
          <w:rFonts w:ascii="Avignon Pro" w:hAnsi="Avignon Pro"/>
        </w:rPr>
        <w:t>I</w:t>
      </w:r>
      <w:r w:rsidR="009B7167">
        <w:rPr>
          <w:rFonts w:ascii="Avignon Pro" w:hAnsi="Avignon Pro"/>
        </w:rPr>
        <w:t>I</w:t>
      </w:r>
      <w:r w:rsidR="006B2231">
        <w:rPr>
          <w:rFonts w:ascii="Avignon Pro" w:hAnsi="Avignon Pro"/>
        </w:rPr>
        <w:t>I</w:t>
      </w:r>
      <w:r w:rsidRPr="009B7167">
        <w:rPr>
          <w:rFonts w:ascii="Avignon Pro" w:hAnsi="Avignon Pro"/>
        </w:rPr>
        <w:t xml:space="preserve">  •  NUMBER</w:t>
      </w:r>
      <w:r w:rsidR="00CB4D9E" w:rsidRPr="009B7167">
        <w:rPr>
          <w:rFonts w:ascii="Avignon Pro" w:hAnsi="Avignon Pro"/>
        </w:rPr>
        <w:t xml:space="preserve"> </w:t>
      </w:r>
      <w:r w:rsidR="005D04CF">
        <w:rPr>
          <w:rFonts w:ascii="Avignon Pro" w:hAnsi="Avignon Pro"/>
        </w:rPr>
        <w:t>8</w:t>
      </w:r>
      <w:r w:rsidRPr="009B7167">
        <w:rPr>
          <w:rFonts w:ascii="Avignon Pro" w:hAnsi="Avignon Pro"/>
        </w:rPr>
        <w:tab/>
      </w:r>
      <w:r w:rsidR="005D04CF">
        <w:rPr>
          <w:rFonts w:ascii="Avignon Pro" w:hAnsi="Avignon Pro"/>
        </w:rPr>
        <w:t>AUGUST</w:t>
      </w:r>
      <w:r w:rsidRPr="009B7167">
        <w:rPr>
          <w:rFonts w:ascii="Avignon Pro" w:hAnsi="Avignon Pro"/>
        </w:rPr>
        <w:t xml:space="preserve"> 202</w:t>
      </w:r>
      <w:r w:rsidR="006B2231">
        <w:rPr>
          <w:rFonts w:ascii="Avignon Pro" w:hAnsi="Avignon Pro"/>
        </w:rPr>
        <w:t>6</w:t>
      </w:r>
    </w:p>
    <w:p w14:paraId="1B3E261B" w14:textId="77777777" w:rsidR="00B846D5" w:rsidRPr="00B42833" w:rsidRDefault="00B846D5" w:rsidP="00B846D5">
      <w:pPr>
        <w:tabs>
          <w:tab w:val="right" w:pos="10800"/>
        </w:tabs>
        <w:rPr>
          <w:sz w:val="16"/>
          <w:szCs w:val="16"/>
        </w:rPr>
      </w:pPr>
    </w:p>
    <w:p w14:paraId="30CC7480" w14:textId="0B7D6FBD" w:rsidR="00C82F02" w:rsidRPr="00296595" w:rsidRDefault="005460B2" w:rsidP="00C82F02">
      <w:pPr>
        <w:ind w:firstLine="0"/>
        <w:jc w:val="center"/>
        <w:rPr>
          <w:rFonts w:eastAsiaTheme="majorEastAsia" w:cstheme="majorBidi"/>
          <w:b/>
          <w:sz w:val="40"/>
          <w:szCs w:val="32"/>
        </w:rPr>
      </w:pPr>
      <w:r w:rsidRPr="00296595">
        <w:rPr>
          <w:rFonts w:eastAsiaTheme="majorEastAsia" w:cstheme="majorBidi"/>
          <w:b/>
          <w:sz w:val="40"/>
          <w:szCs w:val="32"/>
        </w:rPr>
        <w:t>IEBC CLARIFICATION</w:t>
      </w:r>
    </w:p>
    <w:p w14:paraId="024F19C0" w14:textId="3429E9D6" w:rsidR="005460B2" w:rsidRPr="00296595" w:rsidRDefault="005460B2" w:rsidP="00C82F02">
      <w:pPr>
        <w:ind w:firstLine="0"/>
        <w:jc w:val="center"/>
        <w:rPr>
          <w:rFonts w:eastAsiaTheme="majorEastAsia" w:cstheme="majorBidi"/>
          <w:bCs/>
          <w:szCs w:val="20"/>
        </w:rPr>
      </w:pPr>
      <w:r w:rsidRPr="00296595">
        <w:rPr>
          <w:rFonts w:eastAsiaTheme="majorEastAsia" w:cstheme="majorBidi"/>
          <w:bCs/>
          <w:szCs w:val="20"/>
        </w:rPr>
        <w:t>by Jeff Remas</w:t>
      </w:r>
    </w:p>
    <w:p w14:paraId="664FEC58" w14:textId="77777777" w:rsidR="003100F0" w:rsidRPr="00296595" w:rsidRDefault="003100F0" w:rsidP="00B846D5">
      <w:pPr>
        <w:tabs>
          <w:tab w:val="right" w:pos="10800"/>
        </w:tabs>
      </w:pPr>
    </w:p>
    <w:p w14:paraId="57A81811" w14:textId="77777777" w:rsidR="003100F0" w:rsidRPr="00296595" w:rsidRDefault="003100F0" w:rsidP="00B846D5">
      <w:pPr>
        <w:tabs>
          <w:tab w:val="right" w:pos="10800"/>
        </w:tabs>
        <w:sectPr w:rsidR="003100F0" w:rsidRPr="00296595" w:rsidSect="00CA4A11">
          <w:headerReference w:type="default" r:id="rId7"/>
          <w:pgSz w:w="12240" w:h="15840" w:code="1"/>
          <w:pgMar w:top="720" w:right="720" w:bottom="720" w:left="720" w:header="720" w:footer="720" w:gutter="0"/>
          <w:cols w:space="432"/>
          <w:titlePg/>
          <w:docGrid w:linePitch="360"/>
        </w:sectPr>
      </w:pPr>
    </w:p>
    <w:p w14:paraId="784A1E5D" w14:textId="77777777" w:rsidR="005460B2" w:rsidRPr="00296595" w:rsidRDefault="005460B2" w:rsidP="005460B2">
      <w:pPr>
        <w:ind w:firstLine="0"/>
      </w:pPr>
      <w:r w:rsidRPr="00296595">
        <w:t>A small sentence added to the 2024 International Existing Building Code may prevent a large amount of unnecessary confusion in the field.</w:t>
      </w:r>
    </w:p>
    <w:p w14:paraId="2EDC5078" w14:textId="77777777" w:rsidR="00DB5FF7" w:rsidRPr="00296595" w:rsidRDefault="00DB5FF7" w:rsidP="00DB5FF7">
      <w:r w:rsidRPr="00296595">
        <w:t>The change appears in Section 401.2, Compliance, of the 2024 IEBC. The new language clarifies that work on nondam-aged components, when that work is necessary to complete the required repair of damaged components, is treated as part of the repair. It is not automatically treated as an alteration. ICC’s 2024 IEBC materials identify this as a change to Section 401.2 involving work on nondamaged components.</w:t>
      </w:r>
    </w:p>
    <w:p w14:paraId="5507E8CE" w14:textId="77777777" w:rsidR="00DB5FF7" w:rsidRPr="00296595" w:rsidRDefault="00DB5FF7" w:rsidP="00DB5FF7">
      <w:r w:rsidRPr="00296595">
        <w:t>That distinction matters.</w:t>
      </w:r>
    </w:p>
    <w:p w14:paraId="2B7AFF2E" w14:textId="77777777" w:rsidR="00DB5FF7" w:rsidRPr="00296595" w:rsidRDefault="00DB5FF7" w:rsidP="00DB5FF7">
      <w:r w:rsidRPr="00296595">
        <w:t>In existing buildings, repair work often cannot be performed in a clean, isolated manner. A damaged component may be be-hind, attached to, supported by, or otherwise connected to com-ponents that were not themselves damaged. In many real-world situations, the contractor must disturb or replace some nondam-aged work in order to properly access, repair, or replace the damaged portion of the building.</w:t>
      </w:r>
    </w:p>
    <w:p w14:paraId="289C411C" w14:textId="30BC22ED" w:rsidR="00DB5FF7" w:rsidRPr="00296595" w:rsidRDefault="00DB5FF7" w:rsidP="00DB5FF7">
      <w:r w:rsidRPr="00296595">
        <w:t>The question then becomes whether that related work should be treated as a repair, or whether the code official should classify it as an alteration and trigger additional alteration requirements.</w:t>
      </w:r>
    </w:p>
    <w:p w14:paraId="76C04B2A" w14:textId="0D7A87E5" w:rsidR="005460B2" w:rsidRPr="00296595" w:rsidRDefault="00DB5FF7" w:rsidP="00DB5FF7">
      <w:r w:rsidRPr="00296595">
        <w:t>The 2024 IEBC answers that question more clearly</w:t>
      </w:r>
      <w:r w:rsidR="005460B2" w:rsidRPr="00296595">
        <w:t>.</w:t>
      </w:r>
    </w:p>
    <w:p w14:paraId="771C123F" w14:textId="77777777" w:rsidR="005460B2" w:rsidRPr="00296595" w:rsidRDefault="005460B2" w:rsidP="00540487">
      <w:r w:rsidRPr="00296595">
        <w:t>The change was submitted as code change EB35-22. The proposal explained that the language had previously existed in the 2015 IEBC, but was unintentionally lost during the later reorganization and consolidation of repair provisions. The proponent’s stated purpose was not to create a new loophole, but to restore a practical provision that had been removed by accident.</w:t>
      </w:r>
    </w:p>
    <w:p w14:paraId="0DDA1060" w14:textId="77777777" w:rsidR="005460B2" w:rsidRPr="00296595" w:rsidRDefault="005460B2" w:rsidP="00540487">
      <w:r w:rsidRPr="00296595">
        <w:t>That is an important point. This was not a weakening of the code. It was a correction.</w:t>
      </w:r>
    </w:p>
    <w:p w14:paraId="606FC52E" w14:textId="77777777" w:rsidR="005460B2" w:rsidRPr="00296595" w:rsidRDefault="005460B2" w:rsidP="00540487">
      <w:r w:rsidRPr="00296595">
        <w:t>The IEBC is intended to regulate work in existing buildings without forcing every repair to become a full-blown alteration project. That does not mean the code ignores safety, and it does not mean damaged buildings can be patched together without oversight. Section 401.2 still requires that the work not make the building less compliant than it was before the repair was undertaken.</w:t>
      </w:r>
    </w:p>
    <w:p w14:paraId="2D9A3712" w14:textId="77777777" w:rsidR="005460B2" w:rsidRPr="00296595" w:rsidRDefault="005460B2" w:rsidP="00540487">
      <w:r w:rsidRPr="00296595">
        <w:t>But it also recognizes reality.</w:t>
      </w:r>
    </w:p>
    <w:p w14:paraId="00C2DAC0" w14:textId="77777777" w:rsidR="005460B2" w:rsidRPr="00296595" w:rsidRDefault="005460B2" w:rsidP="00540487">
      <w:r w:rsidRPr="00296595">
        <w:t>If a damaged component must be repaired, and nondamaged work must be disturbed or replaced only because it is necessary to complete that repair, the related work remains part of the repair. It should not automatically be used as a basis to impose unrelated alteration requirements.</w:t>
      </w:r>
    </w:p>
    <w:p w14:paraId="47EF3253" w14:textId="77777777" w:rsidR="005460B2" w:rsidRPr="00296595" w:rsidRDefault="005460B2" w:rsidP="00540487">
      <w:r w:rsidRPr="00296595">
        <w:t>That matters for owners, contractors, design professionals, insurance claims, and building officials.</w:t>
      </w:r>
    </w:p>
    <w:p w14:paraId="40922027" w14:textId="77777777" w:rsidR="005460B2" w:rsidRPr="00296595" w:rsidRDefault="005460B2" w:rsidP="00540487">
      <w:r w:rsidRPr="00296595">
        <w:t xml:space="preserve">Without this clarification, a simple repair could be overclassified. A code official could look at related work on nondamaged components and treat it as an alteration, even when that work was only incidental to the required repair. That could increase costs, </w:t>
      </w:r>
      <w:r w:rsidRPr="00296595">
        <w:t>delay recovery, and create inconsistent enforcement from one jurisdiction to another.</w:t>
      </w:r>
    </w:p>
    <w:p w14:paraId="36CFBD16" w14:textId="77777777" w:rsidR="005460B2" w:rsidRPr="00296595" w:rsidRDefault="005460B2" w:rsidP="00540487">
      <w:r w:rsidRPr="00296595">
        <w:t>The committee appeared to recognize that concern. According to the public hearing results shown in the ICC Code Change Details, the committee approved the proposal as submitted, stating that work done only as a result of a repair should not be considered an alteration, because classifying it that way could unnecessarily trigger other code requirements.</w:t>
      </w:r>
    </w:p>
    <w:p w14:paraId="0D0E6CF4" w14:textId="77777777" w:rsidR="005460B2" w:rsidRPr="00296595" w:rsidRDefault="005460B2" w:rsidP="00540487">
      <w:r w:rsidRPr="00296595">
        <w:t>That is a reasonable and practical position.</w:t>
      </w:r>
    </w:p>
    <w:p w14:paraId="5E54EBED" w14:textId="77777777" w:rsidR="005460B2" w:rsidRPr="00296595" w:rsidRDefault="005460B2" w:rsidP="00540487">
      <w:r w:rsidRPr="00296595">
        <w:t>This language should be especially useful after storm damage, water damage, structural damage, fire damage, or other events where repair work affects surrounding construction. It gives the building official a clearer basis to separate true alteration work from work that is merely necessary to complete a repair.</w:t>
      </w:r>
    </w:p>
    <w:p w14:paraId="0C16A0D3" w14:textId="77777777" w:rsidR="005460B2" w:rsidRPr="00296595" w:rsidRDefault="005460B2" w:rsidP="00540487">
      <w:r w:rsidRPr="00296595">
        <w:t>The key is scope.</w:t>
      </w:r>
    </w:p>
    <w:p w14:paraId="2D7C652D" w14:textId="77777777" w:rsidR="005460B2" w:rsidRPr="00296595" w:rsidRDefault="005460B2" w:rsidP="00540487">
      <w:r w:rsidRPr="00296595">
        <w:t>If the owner expands the project beyond what is necessary for the repair, that additional work may still be an alteration. If the work changes the building, reconfigures space, modifies systems beyond the repair, or upgrades portions of the building for reasons unrelated to the damage, the building official still has to evaluate the applicable IEBC provisions.</w:t>
      </w:r>
    </w:p>
    <w:p w14:paraId="38676A59" w14:textId="77777777" w:rsidR="005460B2" w:rsidRPr="00296595" w:rsidRDefault="005460B2" w:rsidP="00540487">
      <w:r w:rsidRPr="00296595">
        <w:t>But where the nondamaged work is genuinely necessary to repair the damaged component, the 2024 IEBC now gives us a clearer answer.</w:t>
      </w:r>
    </w:p>
    <w:p w14:paraId="403A71C7" w14:textId="77777777" w:rsidR="005460B2" w:rsidRPr="00296595" w:rsidRDefault="005460B2" w:rsidP="00540487">
      <w:r w:rsidRPr="00296595">
        <w:t>It is part of the repair.</w:t>
      </w:r>
    </w:p>
    <w:p w14:paraId="621B379C" w14:textId="3108636C" w:rsidR="005460B2" w:rsidRPr="00296595" w:rsidRDefault="005460B2" w:rsidP="00540487">
      <w:r w:rsidRPr="00296595">
        <w:t>This is the type of code change that may not get much attention, but it has practical value. It helps prevent overreach. It supports consistent enforcement. It respects the difference between repairing damage and altering a building. Most importantly, it restores language that should never have disappeared from the IEBC in the first place.</w:t>
      </w:r>
    </w:p>
    <w:p w14:paraId="1CCA2A51" w14:textId="77777777" w:rsidR="00575963" w:rsidRPr="00296595" w:rsidRDefault="00575963" w:rsidP="001C497C">
      <w:pPr>
        <w:spacing w:before="120" w:after="120"/>
        <w:rPr>
          <w:bCs/>
        </w:rPr>
      </w:pPr>
      <w:r w:rsidRPr="00296595">
        <w:rPr>
          <w:bCs/>
          <w:i/>
          <w:iCs/>
        </w:rPr>
        <w:t xml:space="preserve">The preceding article first appeared on </w:t>
      </w:r>
      <w:hyperlink r:id="rId8" w:anchor="post-313355" w:history="1">
        <w:r w:rsidRPr="00296595">
          <w:rPr>
            <w:rStyle w:val="Hyperlink"/>
            <w:bCs/>
            <w:i/>
            <w:iCs/>
          </w:rPr>
          <w:t>The Building Code Forum</w:t>
        </w:r>
      </w:hyperlink>
      <w:r w:rsidRPr="00296595">
        <w:rPr>
          <w:bCs/>
          <w:i/>
          <w:iCs/>
        </w:rPr>
        <w:t xml:space="preserve"> and is used with permission of the author. Jeff Remas can be found through his </w:t>
      </w:r>
      <w:hyperlink r:id="rId9" w:history="1">
        <w:r w:rsidRPr="00296595">
          <w:rPr>
            <w:rStyle w:val="Hyperlink"/>
            <w:bCs/>
            <w:i/>
            <w:iCs/>
          </w:rPr>
          <w:t>LinkedIn page</w:t>
        </w:r>
      </w:hyperlink>
    </w:p>
    <w:p w14:paraId="0EDE6D63" w14:textId="68F7E5BB" w:rsidR="00E26973" w:rsidRPr="00296595" w:rsidRDefault="00575963" w:rsidP="00540487">
      <w:pPr>
        <w:rPr>
          <w:i/>
          <w:iCs/>
        </w:rPr>
      </w:pPr>
      <w:r w:rsidRPr="00296595">
        <w:rPr>
          <w:i/>
          <w:iCs/>
        </w:rPr>
        <w:t>[Editor’s Note: If you go looking for the “missing” language in the 2015—or earlier—IEBC and can’t find it in the paragraph about Repairs</w:t>
      </w:r>
      <w:r w:rsidR="00096480" w:rsidRPr="00296595">
        <w:rPr>
          <w:i/>
          <w:iCs/>
        </w:rPr>
        <w:t>–</w:t>
      </w:r>
      <w:r w:rsidRPr="00296595">
        <w:rPr>
          <w:i/>
          <w:iCs/>
        </w:rPr>
        <w:t>General, that’s because it wasn’t there. The lost provision was buried in provisions for the Work Area Method for alterations.</w:t>
      </w:r>
    </w:p>
    <w:p w14:paraId="1BFC9CB4" w14:textId="7FBBF45D" w:rsidR="00575963" w:rsidRPr="00296595" w:rsidRDefault="00E26973" w:rsidP="00540487">
      <w:pPr>
        <w:rPr>
          <w:i/>
          <w:iCs/>
        </w:rPr>
      </w:pPr>
      <w:r w:rsidRPr="00296595">
        <w:rPr>
          <w:i/>
          <w:iCs/>
        </w:rPr>
        <w:t>In this editor’s opinion, the IEBC remains the most misunderstood and misused book in the entire ICC family of codes. I encourage anyone and everyone who deals with existing buildings</w:t>
      </w:r>
      <w:r w:rsidR="00F62824" w:rsidRPr="00296595">
        <w:rPr>
          <w:i/>
          <w:iCs/>
        </w:rPr>
        <w:t>—code officials and architects</w:t>
      </w:r>
      <w:r w:rsidR="00096480" w:rsidRPr="00296595">
        <w:rPr>
          <w:i/>
          <w:iCs/>
        </w:rPr>
        <w:t xml:space="preserve"> alike</w:t>
      </w:r>
      <w:r w:rsidR="00F62824" w:rsidRPr="00296595">
        <w:rPr>
          <w:i/>
          <w:iCs/>
        </w:rPr>
        <w:t>—</w:t>
      </w:r>
      <w:r w:rsidRPr="00296595">
        <w:rPr>
          <w:i/>
          <w:iCs/>
        </w:rPr>
        <w:t xml:space="preserve">to purchase not just the IEBC but also the IEBC Commentary, and to spend some time reading the Commentary and </w:t>
      </w:r>
      <w:r w:rsidR="00F62824" w:rsidRPr="00296595">
        <w:rPr>
          <w:i/>
          <w:iCs/>
        </w:rPr>
        <w:t>understanding what the IEBC is and how it relates to the IBC, the IPC, the IMC, and ICC-ANSI A117.1.</w:t>
      </w:r>
      <w:r w:rsidR="00575963" w:rsidRPr="00296595">
        <w:rPr>
          <w:i/>
          <w:iCs/>
        </w:rPr>
        <w:t>]</w:t>
      </w:r>
    </w:p>
    <w:p w14:paraId="37B94377" w14:textId="77777777" w:rsidR="005D04CF" w:rsidRPr="00296595" w:rsidRDefault="005D04CF" w:rsidP="005D04CF">
      <w:pPr>
        <w:ind w:firstLine="0"/>
        <w:sectPr w:rsidR="005D04CF" w:rsidRPr="00296595" w:rsidSect="00E40452">
          <w:headerReference w:type="default" r:id="rId10"/>
          <w:type w:val="continuous"/>
          <w:pgSz w:w="12240" w:h="15840" w:code="1"/>
          <w:pgMar w:top="720" w:right="720" w:bottom="720" w:left="720" w:header="720" w:footer="720" w:gutter="0"/>
          <w:cols w:num="2" w:space="432"/>
          <w:titlePg/>
          <w:docGrid w:linePitch="360"/>
        </w:sectPr>
      </w:pPr>
    </w:p>
    <w:p w14:paraId="34099242" w14:textId="525A4D9C" w:rsidR="005460B2" w:rsidRPr="00296595" w:rsidRDefault="005D04CF" w:rsidP="00E40452">
      <w:pPr>
        <w:ind w:firstLine="0"/>
        <w:jc w:val="center"/>
        <w:rPr>
          <w:b/>
          <w:bCs/>
          <w:sz w:val="40"/>
          <w:szCs w:val="40"/>
        </w:rPr>
      </w:pPr>
      <w:r w:rsidRPr="00296595">
        <w:rPr>
          <w:b/>
          <w:bCs/>
          <w:sz w:val="40"/>
          <w:szCs w:val="40"/>
        </w:rPr>
        <w:lastRenderedPageBreak/>
        <w:t>2024 IEBC CHANGES</w:t>
      </w:r>
    </w:p>
    <w:p w14:paraId="7FC96D8C" w14:textId="77777777" w:rsidR="00540487" w:rsidRPr="00296595" w:rsidRDefault="00540487" w:rsidP="00540487"/>
    <w:p w14:paraId="4C6065BB" w14:textId="77777777" w:rsidR="005460B2" w:rsidRPr="00296595" w:rsidRDefault="005460B2" w:rsidP="00540487">
      <w:pPr>
        <w:sectPr w:rsidR="005460B2" w:rsidRPr="00296595" w:rsidSect="00575963">
          <w:headerReference w:type="first" r:id="rId11"/>
          <w:pgSz w:w="12240" w:h="15840" w:code="1"/>
          <w:pgMar w:top="720" w:right="720" w:bottom="720" w:left="720" w:header="720" w:footer="720" w:gutter="0"/>
          <w:cols w:space="432"/>
          <w:titlePg/>
          <w:docGrid w:linePitch="360"/>
        </w:sectPr>
      </w:pPr>
    </w:p>
    <w:p w14:paraId="0864D69B" w14:textId="7FFA6AE7" w:rsidR="005741C2" w:rsidRPr="00296595" w:rsidRDefault="005741C2" w:rsidP="005F5291">
      <w:pPr>
        <w:spacing w:after="120"/>
        <w:ind w:firstLine="0"/>
      </w:pPr>
      <w:r w:rsidRPr="00296595">
        <w:t>Beyond the section discussed in the preceding article, there are a number of other changes and additions to the 2024 IEBC that are intended to clarify its application and to dispel confusion.</w:t>
      </w:r>
    </w:p>
    <w:p w14:paraId="62C7B51A" w14:textId="185C99F0" w:rsidR="005F5291" w:rsidRPr="00296595" w:rsidRDefault="005F5291" w:rsidP="005741C2">
      <w:r w:rsidRPr="00296595">
        <w:t>Section 306.5, Change of Occupancy, has been replaced completely. The 2021 IEBC says this:</w:t>
      </w:r>
    </w:p>
    <w:p w14:paraId="0424D151" w14:textId="5842AC35" w:rsidR="005F5291" w:rsidRPr="00296595" w:rsidRDefault="005F5291" w:rsidP="005F5291">
      <w:pPr>
        <w:spacing w:before="120"/>
        <w:ind w:left="288" w:right="288" w:firstLine="0"/>
      </w:pPr>
      <w:r w:rsidRPr="00296595">
        <w:rPr>
          <w:b/>
          <w:bCs/>
        </w:rPr>
        <w:t>306.5 Change of occupancy.</w:t>
      </w:r>
      <w:r w:rsidRPr="00296595">
        <w:t xml:space="preserve"> Existing buildings that undergo a change of group or occupancy shall comply with Section 306.7.</w:t>
      </w:r>
    </w:p>
    <w:p w14:paraId="65BE0373" w14:textId="10ED0C1A" w:rsidR="005F5291" w:rsidRPr="00296595" w:rsidRDefault="005F5291" w:rsidP="005F5291">
      <w:pPr>
        <w:spacing w:after="120"/>
        <w:ind w:left="576" w:right="288" w:firstLine="0"/>
      </w:pPr>
      <w:r w:rsidRPr="00296595">
        <w:rPr>
          <w:b/>
          <w:bCs/>
        </w:rPr>
        <w:t>Exception:</w:t>
      </w:r>
      <w:r w:rsidRPr="00296595">
        <w:t xml:space="preserve"> Type B dwelling or sleeping units required by Section 1108 of the International Building Code are not required to be provided in existing buildings and facilities undergoing a change of occupancy in conjunction with alterations where the work area is 50 percent or less of the aggregate area of the building.</w:t>
      </w:r>
    </w:p>
    <w:p w14:paraId="556EE5DC" w14:textId="580B129F" w:rsidR="005F5291" w:rsidRPr="00296595" w:rsidRDefault="005F5291" w:rsidP="005F5291">
      <w:pPr>
        <w:spacing w:after="120"/>
        <w:ind w:firstLine="0"/>
      </w:pPr>
      <w:r w:rsidRPr="00296595">
        <w:t>The new language for 2024 eliminates the exception and substitutes the following for the main paragraph:</w:t>
      </w:r>
    </w:p>
    <w:p w14:paraId="1819EBF1" w14:textId="1299DC3F" w:rsidR="005F5291" w:rsidRPr="00296595" w:rsidRDefault="005F5291" w:rsidP="005F5291">
      <w:pPr>
        <w:spacing w:after="120"/>
        <w:ind w:left="288" w:right="288" w:firstLine="0"/>
      </w:pPr>
      <w:r w:rsidRPr="00296595">
        <w:rPr>
          <w:b/>
          <w:bCs/>
        </w:rPr>
        <w:t xml:space="preserve">306.5 Change of occupancy. </w:t>
      </w:r>
      <w:r w:rsidRPr="00296595">
        <w:t>Where an existing building undergoes a change of occupancy that includes alterations, such alterations shall comply with Section 306.7.</w:t>
      </w:r>
    </w:p>
    <w:p w14:paraId="7887B015" w14:textId="2BEB4FC2" w:rsidR="005F5291" w:rsidRPr="00296595" w:rsidRDefault="005F5291" w:rsidP="005F5291">
      <w:pPr>
        <w:spacing w:after="120"/>
        <w:ind w:firstLine="0"/>
      </w:pPr>
      <w:r w:rsidRPr="00296595">
        <w:t>The ICC explanation for the change is that this represents a clarification.</w:t>
      </w:r>
    </w:p>
    <w:p w14:paraId="396195E0" w14:textId="77777777" w:rsidR="005F5291" w:rsidRPr="00296595" w:rsidRDefault="005F5291" w:rsidP="005F5291">
      <w:pPr>
        <w:spacing w:after="120"/>
        <w:ind w:left="288" w:right="288" w:firstLine="0"/>
        <w:rPr>
          <w:rFonts w:ascii="Arial" w:hAnsi="Arial" w:cs="Arial"/>
          <w:sz w:val="18"/>
          <w:szCs w:val="18"/>
        </w:rPr>
      </w:pPr>
      <w:r w:rsidRPr="00296595">
        <w:rPr>
          <w:rFonts w:ascii="Arial" w:hAnsi="Arial" w:cs="Arial"/>
          <w:sz w:val="18"/>
          <w:szCs w:val="18"/>
        </w:rPr>
        <w:t xml:space="preserve">2024 IEBC Section 306.5 clarifies that when a change of occupancy occurs with an alteration, the alteration must provide accessibility as required in Section 306.7. </w:t>
      </w:r>
      <w:r w:rsidRPr="00296595">
        <w:rPr>
          <w:rFonts w:ascii="Arial" w:hAnsi="Arial" w:cs="Arial"/>
          <w:sz w:val="18"/>
          <w:szCs w:val="18"/>
          <w:highlight w:val="yellow"/>
        </w:rPr>
        <w:t>A change of occupancy without an alteration does not need to comply with Section 306.7</w:t>
      </w:r>
      <w:r w:rsidRPr="00296595">
        <w:rPr>
          <w:rFonts w:ascii="Arial" w:hAnsi="Arial" w:cs="Arial"/>
          <w:sz w:val="18"/>
          <w:szCs w:val="18"/>
        </w:rPr>
        <w:t>. This approach is consistent with the scope found in the federal Americans with Disabilities Act (ADA).</w:t>
      </w:r>
    </w:p>
    <w:p w14:paraId="74B6A17C" w14:textId="2136B9E1" w:rsidR="005F5291" w:rsidRPr="00296595" w:rsidRDefault="005F5291" w:rsidP="005F5291">
      <w:pPr>
        <w:spacing w:after="120"/>
        <w:ind w:left="288" w:right="288" w:firstLine="0"/>
        <w:rPr>
          <w:rFonts w:ascii="Arial" w:hAnsi="Arial" w:cs="Arial"/>
          <w:sz w:val="18"/>
          <w:szCs w:val="18"/>
        </w:rPr>
      </w:pPr>
      <w:r w:rsidRPr="00296595">
        <w:rPr>
          <w:rFonts w:ascii="Arial" w:hAnsi="Arial" w:cs="Arial"/>
          <w:sz w:val="18"/>
          <w:szCs w:val="18"/>
        </w:rPr>
        <w:t>An exception for Type B dwelling and sleeping units that exempted compliance with Section 1108 of the IBC is deleted. This provision applied to a change of occupancy with an alteration. Since this exemption exists in Section 306.7.4, the exception in Section 306.5 is deleted.</w:t>
      </w:r>
    </w:p>
    <w:p w14:paraId="2F963144" w14:textId="2FDD560C" w:rsidR="005F5291" w:rsidRPr="00296595" w:rsidRDefault="00BB4CA8" w:rsidP="00527FBB">
      <w:pPr>
        <w:spacing w:after="120"/>
        <w:ind w:firstLine="0"/>
        <w:jc w:val="center"/>
      </w:pPr>
      <w:r w:rsidRPr="00296595">
        <w:t>~ ~ ~ ~ ~</w:t>
      </w:r>
    </w:p>
    <w:p w14:paraId="2827AE6F" w14:textId="2FF1D8B9" w:rsidR="005F5291" w:rsidRPr="00296595" w:rsidRDefault="00BB4CA8" w:rsidP="00BB4CA8">
      <w:pPr>
        <w:spacing w:after="120"/>
        <w:ind w:firstLine="0"/>
      </w:pPr>
      <w:r w:rsidRPr="00296595">
        <w:t>Section 306.6, Additions, has likewise undergone significant revisions. The language from the 2021 edition, which is in force in Connecticut, reads as follows:</w:t>
      </w:r>
    </w:p>
    <w:p w14:paraId="776D6258" w14:textId="6AD2D01D" w:rsidR="005F5291" w:rsidRPr="00296595" w:rsidRDefault="00BB4CA8" w:rsidP="00BB4CA8">
      <w:pPr>
        <w:spacing w:after="120"/>
        <w:ind w:left="288" w:right="288" w:firstLine="0"/>
      </w:pPr>
      <w:r w:rsidRPr="00296595">
        <w:rPr>
          <w:b/>
          <w:bCs/>
        </w:rPr>
        <w:t>306.6 Additions</w:t>
      </w:r>
      <w:r w:rsidRPr="00296595">
        <w:t>. Provisions for new construction shall apply to additions. An addition that affects the accessibility to, or contains an area of, a primary function shall comply with the requirements in Section 306.7.1.</w:t>
      </w:r>
    </w:p>
    <w:p w14:paraId="79941B81" w14:textId="0364AACE" w:rsidR="005F5291" w:rsidRPr="00296595" w:rsidRDefault="00BB4CA8" w:rsidP="00BB4CA8">
      <w:pPr>
        <w:spacing w:after="120"/>
        <w:ind w:firstLine="0"/>
      </w:pPr>
      <w:r w:rsidRPr="00296595">
        <w:t>For 2024, the main section is revised, and a new subsection and sub-subsection are added:</w:t>
      </w:r>
    </w:p>
    <w:p w14:paraId="435A546A" w14:textId="7029E16E" w:rsidR="00BB4CA8" w:rsidRPr="00296595" w:rsidRDefault="00BB4CA8" w:rsidP="00E653DF">
      <w:pPr>
        <w:spacing w:after="120"/>
        <w:ind w:left="288" w:right="288" w:firstLine="0"/>
      </w:pPr>
      <w:r w:rsidRPr="00296595">
        <w:rPr>
          <w:b/>
          <w:bCs/>
        </w:rPr>
        <w:t>306.6 Additions.</w:t>
      </w:r>
      <w:r w:rsidRPr="00296595">
        <w:t xml:space="preserve"> </w:t>
      </w:r>
      <w:r w:rsidRPr="00296595">
        <w:rPr>
          <w:u w:val="single"/>
        </w:rPr>
        <w:t xml:space="preserve">Where additions contain dwelling or sleeping units, the accessibility requirements shall apply only to the quantity of the dwelling or sleeping units in the addition. </w:t>
      </w:r>
      <w:r w:rsidRPr="00296595">
        <w:t>Provisions for new construction shall apply to additions. An addition that affects the accessibility to, or con</w:t>
      </w:r>
      <w:r w:rsidRPr="00296595">
        <w:t>tains an area of, a primary function shall comply with the requirements in Section 306.7.1.</w:t>
      </w:r>
    </w:p>
    <w:p w14:paraId="3BCC55AB" w14:textId="067D91E9" w:rsidR="00BB4CA8" w:rsidRPr="00296595" w:rsidRDefault="00BB4CA8" w:rsidP="00BB4CA8">
      <w:pPr>
        <w:spacing w:after="60"/>
        <w:ind w:left="576" w:right="288" w:firstLine="0"/>
      </w:pPr>
      <w:r w:rsidRPr="00296595">
        <w:rPr>
          <w:b/>
          <w:bCs/>
        </w:rPr>
        <w:t xml:space="preserve">306.6.1 Accessible means of egress. </w:t>
      </w:r>
      <w:r w:rsidRPr="00296595">
        <w:t>Not fewer than one accessible means of egress from the addition shall be provided where required by Section 1009.1 of the International Building Code. An additional accessible means of egress shall be provided where an additional means of egress is required due to the addition. Where an accessible means of egress serving the addition is within the existing building, the following are required:</w:t>
      </w:r>
    </w:p>
    <w:p w14:paraId="78E79056" w14:textId="0CCFD61F" w:rsidR="00BB4CA8" w:rsidRPr="00296595" w:rsidRDefault="00BB4CA8" w:rsidP="00BB4CA8">
      <w:pPr>
        <w:ind w:left="576" w:right="288" w:firstLine="0"/>
      </w:pPr>
      <w:r w:rsidRPr="00296595">
        <w:t>1. An accessible route from the addition to the existing building shall be provided.</w:t>
      </w:r>
    </w:p>
    <w:p w14:paraId="2ADD9031" w14:textId="2AFC3C2B" w:rsidR="00BB4CA8" w:rsidRPr="00296595" w:rsidRDefault="00BB4CA8" w:rsidP="00E653DF">
      <w:pPr>
        <w:spacing w:after="120"/>
        <w:ind w:left="576" w:right="288" w:firstLine="0"/>
      </w:pPr>
      <w:r w:rsidRPr="00296595">
        <w:t>2. The accessible means of egress in the existing building shall comply with Section 306.7.1.</w:t>
      </w:r>
    </w:p>
    <w:p w14:paraId="7B7AF59B" w14:textId="2935310F" w:rsidR="00BB4CA8" w:rsidRPr="00296595" w:rsidRDefault="00BB4CA8" w:rsidP="00E653DF">
      <w:pPr>
        <w:spacing w:after="60"/>
        <w:ind w:left="864" w:right="288" w:firstLine="0"/>
      </w:pPr>
      <w:r w:rsidRPr="00296595">
        <w:rPr>
          <w:b/>
          <w:bCs/>
        </w:rPr>
        <w:t>306.6.1.1 Additions for elevators.</w:t>
      </w:r>
      <w:r w:rsidR="00E653DF" w:rsidRPr="00296595">
        <w:t xml:space="preserve"> </w:t>
      </w:r>
      <w:r w:rsidRPr="00296595">
        <w:t>Where an addition is being constructed exclusively to accommodate the installation of an elevator or elevators to improve accessibility, an accessible means of egress in accordance with Section 1009.1 of the International Building Code is not required where all of the following conditions are provided:</w:t>
      </w:r>
    </w:p>
    <w:p w14:paraId="42BE8D22" w14:textId="4C831579" w:rsidR="00BB4CA8" w:rsidRPr="00296595" w:rsidRDefault="00BB4CA8" w:rsidP="00E653DF">
      <w:pPr>
        <w:ind w:left="864" w:right="288" w:firstLine="0"/>
      </w:pPr>
      <w:r w:rsidRPr="00296595">
        <w:t>1.</w:t>
      </w:r>
      <w:r w:rsidR="00E653DF" w:rsidRPr="00296595">
        <w:t xml:space="preserve"> </w:t>
      </w:r>
      <w:r w:rsidRPr="00296595">
        <w:t>Two-way communication is provided at all elevator landings that are part of the addition in accordance with Section 1009.8 of the International Building Code.</w:t>
      </w:r>
    </w:p>
    <w:p w14:paraId="41C27978" w14:textId="0E175CF8" w:rsidR="00BB4CA8" w:rsidRPr="00296595" w:rsidRDefault="00BB4CA8" w:rsidP="00E653DF">
      <w:pPr>
        <w:ind w:left="864" w:right="288" w:firstLine="0"/>
      </w:pPr>
      <w:r w:rsidRPr="00296595">
        <w:t>2.</w:t>
      </w:r>
      <w:r w:rsidR="00E653DF" w:rsidRPr="00296595">
        <w:t xml:space="preserve"> </w:t>
      </w:r>
      <w:r w:rsidRPr="00296595">
        <w:t>Each elevator landing is on floor level with access to a horizontal exit or to a stairway with a width of not less than 36 inches (914 mm).</w:t>
      </w:r>
    </w:p>
    <w:p w14:paraId="577742DA" w14:textId="7417FEC0" w:rsidR="00BB4CA8" w:rsidRPr="00296595" w:rsidRDefault="00BB4CA8" w:rsidP="00E653DF">
      <w:pPr>
        <w:spacing w:after="120"/>
        <w:ind w:left="864" w:right="288" w:firstLine="0"/>
      </w:pPr>
      <w:r w:rsidRPr="00296595">
        <w:t>3.</w:t>
      </w:r>
      <w:r w:rsidR="00E653DF" w:rsidRPr="00296595">
        <w:t xml:space="preserve"> </w:t>
      </w:r>
      <w:r w:rsidRPr="00296595">
        <w:t>The elevator does not serve a required accessible floor or occupied roof more than four stories above or below the level of exit discharge.</w:t>
      </w:r>
    </w:p>
    <w:p w14:paraId="31AF9995" w14:textId="593B3289" w:rsidR="00BB4CA8" w:rsidRPr="00296595" w:rsidRDefault="00E653DF" w:rsidP="00E653DF">
      <w:pPr>
        <w:spacing w:after="120"/>
        <w:ind w:firstLine="0"/>
      </w:pPr>
      <w:r w:rsidRPr="00296595">
        <w:t>The added language in section 306.6 is for clarification</w:t>
      </w:r>
      <w:r w:rsidR="00527FBB" w:rsidRPr="00296595">
        <w:t>, to make it clear that for additions involving dwelling units or sleeping units, accessibility requirements apply only to the new units, not to them total number of dwelling or sleeping units in the overall building.</w:t>
      </w:r>
      <w:r w:rsidRPr="00296595">
        <w:t>:</w:t>
      </w:r>
    </w:p>
    <w:p w14:paraId="4DAB4E49" w14:textId="2F911A86" w:rsidR="00E653DF" w:rsidRPr="00296595" w:rsidRDefault="00E653DF" w:rsidP="00527FBB">
      <w:pPr>
        <w:spacing w:after="120"/>
        <w:ind w:left="288" w:right="288" w:firstLine="0"/>
        <w:rPr>
          <w:rFonts w:ascii="Arial" w:hAnsi="Arial" w:cs="Arial"/>
          <w:sz w:val="18"/>
          <w:szCs w:val="18"/>
        </w:rPr>
      </w:pPr>
      <w:r w:rsidRPr="00296595">
        <w:rPr>
          <w:rFonts w:ascii="Arial" w:hAnsi="Arial" w:cs="Arial"/>
          <w:sz w:val="18"/>
          <w:szCs w:val="18"/>
        </w:rPr>
        <w:t>This proposal was approved to clarify which units are counted to determine the number and type of units required including Accessible units, Type A units and Type B units. The modification simply changes the term “and” to “or” in the first sentence of Section 306.6 so that where either occur this sections is applicable. The use of “or” is consistent with the end of that sentence in Section 306.6.</w:t>
      </w:r>
    </w:p>
    <w:p w14:paraId="7B818C86" w14:textId="41CE1A64" w:rsidR="00BB4CA8" w:rsidRPr="00296595" w:rsidRDefault="00527FBB" w:rsidP="005F5291">
      <w:pPr>
        <w:ind w:firstLine="0"/>
      </w:pPr>
      <w:r w:rsidRPr="00296595">
        <w:t xml:space="preserve">The new section 306.6.1 is, in my opinion, a major change. Under the 2021 codes, IEBC 306.7.2 says that </w:t>
      </w:r>
    </w:p>
    <w:p w14:paraId="524B7086" w14:textId="75CAE3DF" w:rsidR="00527FBB" w:rsidRPr="00296595" w:rsidRDefault="00527FBB" w:rsidP="00527FBB">
      <w:pPr>
        <w:spacing w:before="120" w:after="120"/>
        <w:ind w:left="288" w:right="288" w:firstLine="0"/>
      </w:pPr>
      <w:r w:rsidRPr="00296595">
        <w:rPr>
          <w:b/>
          <w:bCs/>
        </w:rPr>
        <w:t>306.7.2 Accessible means of egress.</w:t>
      </w:r>
      <w:r w:rsidRPr="00296595">
        <w:t xml:space="preserve"> Accessible means of egress required by Chapter 10 of the International Building Code are not required to be added in existing facilities.</w:t>
      </w:r>
    </w:p>
    <w:p w14:paraId="4134C66F" w14:textId="45BC0DDB" w:rsidR="00E653DF" w:rsidRPr="00296595" w:rsidRDefault="00527FBB" w:rsidP="005F5291">
      <w:pPr>
        <w:ind w:firstLine="0"/>
      </w:pPr>
      <w:r w:rsidRPr="00296595">
        <w:t xml:space="preserve">I have never liked that provision. As a long-time accessible design advocate, I have difficulty wrapping my head around the notion </w:t>
      </w:r>
      <w:r w:rsidRPr="00296595">
        <w:lastRenderedPageBreak/>
        <w:t xml:space="preserve">that we’re required to get people with disabilities into existing buildings, but we’re not required to get them out in case of fire or other emergency. The new section 306.6.1 is intended to </w:t>
      </w:r>
      <w:r w:rsidR="004E6EFD" w:rsidRPr="00296595">
        <w:t xml:space="preserve">clarify </w:t>
      </w:r>
      <w:r w:rsidRPr="00296595">
        <w:t xml:space="preserve">that </w:t>
      </w:r>
      <w:r w:rsidR="004E6EFD" w:rsidRPr="00296595">
        <w:t>the exemption applies only within existing buildings. This exemption was never intended to allow additions to be constructed without providing accessible means of egress.</w:t>
      </w:r>
    </w:p>
    <w:p w14:paraId="2483A0EB" w14:textId="059FFAA7" w:rsidR="00FA06D9" w:rsidRPr="00296595" w:rsidRDefault="00FA06D9" w:rsidP="00FA06D9">
      <w:r w:rsidRPr="00296595">
        <w:t>It’s important to note that the accessible means of egress from an addition can pass through the existing building, but where that occurs, additional requirements apply.</w:t>
      </w:r>
    </w:p>
    <w:p w14:paraId="223BE120" w14:textId="77777777" w:rsidR="00527FBB" w:rsidRPr="00296595" w:rsidRDefault="00527FBB" w:rsidP="00FA06D9">
      <w:pPr>
        <w:spacing w:before="120" w:after="120"/>
        <w:ind w:firstLine="0"/>
        <w:jc w:val="center"/>
      </w:pPr>
      <w:r w:rsidRPr="00296595">
        <w:t>~ ~ ~ ~ ~</w:t>
      </w:r>
    </w:p>
    <w:p w14:paraId="385B7898" w14:textId="6CA2169B" w:rsidR="00E653DF" w:rsidRPr="00296595" w:rsidRDefault="00B064FD" w:rsidP="00B064FD">
      <w:pPr>
        <w:spacing w:after="120"/>
        <w:ind w:firstLine="0"/>
      </w:pPr>
      <w:r w:rsidRPr="00296595">
        <w:t xml:space="preserve">An issue that has caused confusion not just in Connecticut but across the country is toilet facilities serving altered areas. Some people interpret the 2021 (and earlier) language as only requiring that an accessible route be provided </w:t>
      </w:r>
      <w:r w:rsidRPr="00296595">
        <w:rPr>
          <w:i/>
          <w:iCs/>
        </w:rPr>
        <w:t>to</w:t>
      </w:r>
      <w:r w:rsidRPr="00296595">
        <w:t xml:space="preserve"> the toilet facilities serving an altered area containing a primary function, but that the toile</w:t>
      </w:r>
      <w:r w:rsidR="004729A9">
        <w:t>t</w:t>
      </w:r>
      <w:r w:rsidRPr="00296595">
        <w:t xml:space="preserve"> facilities themselves do not have to be made accessible. That was not the intent, and this was addressed in the 2021 IEBC Commentary … but commentary is not enforceable code. Changes to the IEBC for 2024 fix this.</w:t>
      </w:r>
    </w:p>
    <w:p w14:paraId="6FA2A6D4" w14:textId="2C7913AD" w:rsidR="00BB4CA8" w:rsidRPr="00296595" w:rsidRDefault="00B064FD" w:rsidP="00B064FD">
      <w:pPr>
        <w:spacing w:after="120"/>
        <w:ind w:left="288" w:right="288" w:firstLine="0"/>
        <w:rPr>
          <w:u w:val="single"/>
        </w:rPr>
      </w:pPr>
      <w:r w:rsidRPr="00296595">
        <w:rPr>
          <w:b/>
          <w:bCs/>
        </w:rPr>
        <w:t xml:space="preserve">306.7.1 Alterations affecting an area containing a primary function. </w:t>
      </w:r>
      <w:r w:rsidRPr="00296595">
        <w:t xml:space="preserve">Where an alteration affects the accessibility to, or contains an area of, primary function, the route to the primary function area shall be accessible. </w:t>
      </w:r>
      <w:r w:rsidRPr="00296595">
        <w:rPr>
          <w:u w:val="single"/>
        </w:rPr>
        <w:t>Toilet facilities and drinking fountains serving the area of primary function, including the route from the area of primary function to these facilities, shall be accessible. Priority shall be given to the improvements affecting the accessible route to the primary function area.</w:t>
      </w:r>
    </w:p>
    <w:p w14:paraId="7EC83EB7" w14:textId="66379961" w:rsidR="00527FBB" w:rsidRPr="00296595" w:rsidRDefault="00B064FD" w:rsidP="005F5291">
      <w:pPr>
        <w:ind w:firstLine="0"/>
      </w:pPr>
      <w:r w:rsidRPr="00296595">
        <w:t xml:space="preserve">This clarifies that the scope </w:t>
      </w:r>
      <w:r w:rsidRPr="00296595">
        <w:rPr>
          <w:i/>
          <w:iCs/>
        </w:rPr>
        <w:t>does</w:t>
      </w:r>
      <w:r w:rsidRPr="00296595">
        <w:t xml:space="preserve"> include making the toilet facilities serving an altered area accessible; accessibility is not limited just to providing an accessible route </w:t>
      </w:r>
      <w:r w:rsidRPr="00296595">
        <w:rPr>
          <w:i/>
          <w:iCs/>
        </w:rPr>
        <w:t>to</w:t>
      </w:r>
      <w:r w:rsidRPr="00296595">
        <w:t xml:space="preserve"> the toilet facilities. However, the “20% rule” still applies, and the new language introduces for the first time an enforceable priority to first provide an accessible route to altered areas containing a primary function. Accessibility improvements to toilet facilities come after that.</w:t>
      </w:r>
    </w:p>
    <w:p w14:paraId="7D6459FD" w14:textId="77777777" w:rsidR="00B064FD" w:rsidRPr="00296595" w:rsidRDefault="00B064FD" w:rsidP="00B064FD">
      <w:pPr>
        <w:spacing w:before="120" w:after="120"/>
        <w:ind w:firstLine="0"/>
        <w:jc w:val="center"/>
      </w:pPr>
      <w:r w:rsidRPr="00296595">
        <w:t>~ ~ ~ ~ ~</w:t>
      </w:r>
    </w:p>
    <w:p w14:paraId="1DCB5F14" w14:textId="40A658F5" w:rsidR="00527FBB" w:rsidRPr="00296595" w:rsidRDefault="0062278F" w:rsidP="005F5291">
      <w:pPr>
        <w:ind w:firstLine="0"/>
      </w:pPr>
      <w:r w:rsidRPr="00296595">
        <w:t>A new subsection has been added to Chapter 3, creating a requirement for toilet rooms that include provisions for adult changing stations.</w:t>
      </w:r>
    </w:p>
    <w:p w14:paraId="74CEF04A" w14:textId="6D072535" w:rsidR="00527FBB" w:rsidRPr="00296595" w:rsidRDefault="0062278F" w:rsidP="0062278F">
      <w:pPr>
        <w:spacing w:before="120" w:after="120"/>
        <w:ind w:left="288" w:right="288" w:firstLine="0"/>
      </w:pPr>
      <w:r w:rsidRPr="00296595">
        <w:rPr>
          <w:b/>
          <w:bCs/>
        </w:rPr>
        <w:t xml:space="preserve">306.7.15 Adult changing stations. </w:t>
      </w:r>
      <w:r w:rsidRPr="00296595">
        <w:t>Where additional toilet facilities are being added, in occupancies where adult changing stations are required by Section 1110.4.1 of the International Building Code, not fewer than one accessible family or assisted-use toilet room with an adult changing station shall be provided in accordance with Section 1110.4 of the International Building Code. The adult changing station shall be permitted to be located in a family or assisted-use toilet room or bathing room required by Section 306.7.12, 306.7.13 or 306.7.14.</w:t>
      </w:r>
    </w:p>
    <w:p w14:paraId="1429E5A3" w14:textId="216DDEDF" w:rsidR="00527FBB" w:rsidRPr="00296595" w:rsidRDefault="0062278F" w:rsidP="005F5291">
      <w:pPr>
        <w:ind w:firstLine="0"/>
      </w:pPr>
      <w:r w:rsidRPr="00296595">
        <w:t xml:space="preserve">The ICC discussion of this new provision states that the technical requirements have not yet been coordinated with the A117.1 committee. Despite the lack of technical requirements, the proposed </w:t>
      </w:r>
      <w:r w:rsidRPr="00296595">
        <w:t>Connecticut amendment does not delete or amend this provision, so it’s something we’ll need to be aware of and alert for. From the ICC code change discussion:</w:t>
      </w:r>
    </w:p>
    <w:p w14:paraId="33882199" w14:textId="5070C92F" w:rsidR="0062278F" w:rsidRPr="00296595" w:rsidRDefault="0062278F" w:rsidP="0062278F">
      <w:pPr>
        <w:spacing w:before="120" w:after="120"/>
        <w:ind w:left="288" w:right="288" w:firstLine="0"/>
        <w:rPr>
          <w:rFonts w:ascii="Arial" w:hAnsi="Arial" w:cs="Arial"/>
          <w:sz w:val="18"/>
          <w:szCs w:val="18"/>
        </w:rPr>
      </w:pPr>
      <w:r w:rsidRPr="00296595">
        <w:rPr>
          <w:rFonts w:ascii="Arial" w:hAnsi="Arial" w:cs="Arial"/>
          <w:b/>
          <w:bCs/>
          <w:sz w:val="18"/>
          <w:szCs w:val="18"/>
        </w:rPr>
        <w:t>Reason:</w:t>
      </w:r>
      <w:r w:rsidRPr="00296595">
        <w:rPr>
          <w:rFonts w:ascii="Arial" w:hAnsi="Arial" w:cs="Arial"/>
          <w:sz w:val="18"/>
          <w:szCs w:val="18"/>
        </w:rPr>
        <w:t xml:space="preserve"> The requirement for adult changing stations in large assembly, mercantile, college lecture halls and highway rest stops was added in the 2024 IBC by Code changes P37-21 Part 2(AMPC1), E141-21(AMPC1), E142-21 (AMPC1 &amp; 2). In addition to the changing table, the room is required to have an accessible toilet and lavatory. This proposal is consistent with where family assisted use toilet rooms are required in the IEBC by Section 306.7.13. The last sentence makes it clear that both requirements can be met by the same toilet room. An adult changing station contains a changing table large enough to accommodate an adult-sized person that is located in proximity to sanitary facilities, such as lavatories and trash disposal. Without such facilities, severely disabled people who cannot use toilets because of their disability suffer from severe isolation because they and their caregivers must return home to be changed. This lack of access has a profound impact not only on the person with a disability, but on their caregivers who are often their immediate family members. Normal activities outside the home such as shopping, entertainment, and travel must be curtailed because of a lack of safe and sanitary places to change. On occasion, caregivers report they have no option other than to change the adults for whom they care on restroom floors. Aside from the obvious sanitation concerns which is far from minimal, this practice raises serious questions about how we as a community afford people with significant disabilities a measure of human dignity and protect their right to privacy.</w:t>
      </w:r>
    </w:p>
    <w:p w14:paraId="4F8A680E" w14:textId="77777777" w:rsidR="0062278F" w:rsidRPr="00296595" w:rsidRDefault="0062278F" w:rsidP="0062278F">
      <w:pPr>
        <w:spacing w:before="120" w:after="120"/>
        <w:ind w:firstLine="0"/>
        <w:jc w:val="center"/>
      </w:pPr>
      <w:r w:rsidRPr="00296595">
        <w:t>~ ~ ~ ~ ~</w:t>
      </w:r>
    </w:p>
    <w:p w14:paraId="1BC0BDCA" w14:textId="54EB5F34" w:rsidR="00527FBB" w:rsidRPr="00296595" w:rsidRDefault="00554499" w:rsidP="005F5291">
      <w:pPr>
        <w:ind w:firstLine="0"/>
      </w:pPr>
      <w:r w:rsidRPr="00296595">
        <w:t>Another new section added to Chapter 3 was initially proposed by the National Association of State Fire Marshals,  and appears to be intended to prevent or to alleviate situations such as England’s disastrous</w:t>
      </w:r>
      <w:r w:rsidR="001E5939" w:rsidRPr="00296595">
        <w:t xml:space="preserve"> Grenfell Tower fire in 2017.</w:t>
      </w:r>
    </w:p>
    <w:p w14:paraId="4EF43E45" w14:textId="77777777" w:rsidR="001E5939" w:rsidRPr="00296595" w:rsidRDefault="001E5939" w:rsidP="001E5939">
      <w:pPr>
        <w:spacing w:before="120"/>
        <w:ind w:left="288" w:right="288" w:firstLine="0"/>
      </w:pPr>
      <w:r w:rsidRPr="00296595">
        <w:rPr>
          <w:b/>
          <w:bCs/>
        </w:rPr>
        <w:t>309.2.1 Automatic sprinkler systems.</w:t>
      </w:r>
      <w:r w:rsidRPr="00296595">
        <w:t xml:space="preserve"> Combustible exterior wall covering or combustible exterior wall envelopes shall not be added to an existing high-rise building that is not protected throughout with an automatic sprinkler system.</w:t>
      </w:r>
    </w:p>
    <w:p w14:paraId="774C1CAC" w14:textId="77777777" w:rsidR="001E5939" w:rsidRPr="00296595" w:rsidRDefault="001E5939" w:rsidP="001E5939">
      <w:pPr>
        <w:spacing w:before="120" w:after="120"/>
        <w:ind w:left="288" w:right="288" w:firstLine="0"/>
        <w:rPr>
          <w:b/>
          <w:bCs/>
        </w:rPr>
      </w:pPr>
      <w:r w:rsidRPr="00296595">
        <w:rPr>
          <w:b/>
          <w:bCs/>
        </w:rPr>
        <w:t>Exceptions:</w:t>
      </w:r>
    </w:p>
    <w:p w14:paraId="770F72B4" w14:textId="0A6B529C" w:rsidR="001E5939" w:rsidRPr="00296595" w:rsidRDefault="001E5939" w:rsidP="001E5939">
      <w:pPr>
        <w:ind w:left="576" w:right="288" w:hanging="288"/>
      </w:pPr>
      <w:r w:rsidRPr="00296595">
        <w:t>1.</w:t>
      </w:r>
      <w:r w:rsidRPr="00296595">
        <w:tab/>
        <w:t>Where such material is located on a single story and is less than 15 percent of the wall area on any side of the building.</w:t>
      </w:r>
    </w:p>
    <w:p w14:paraId="75FE097E" w14:textId="69BF6BCD" w:rsidR="00527FBB" w:rsidRPr="00296595" w:rsidRDefault="001E5939" w:rsidP="001E5939">
      <w:pPr>
        <w:spacing w:after="120"/>
        <w:ind w:left="576" w:right="288" w:hanging="288"/>
      </w:pPr>
      <w:r w:rsidRPr="00296595">
        <w:t>2.</w:t>
      </w:r>
      <w:r w:rsidRPr="00296595">
        <w:tab/>
        <w:t>Water-resistive barriers installed in accordance with Section 1402.6 of the International Building Code.</w:t>
      </w:r>
    </w:p>
    <w:p w14:paraId="71F55DBF" w14:textId="77777777" w:rsidR="00107341" w:rsidRPr="00296595" w:rsidRDefault="001E5939" w:rsidP="00107341">
      <w:pPr>
        <w:spacing w:after="120"/>
        <w:ind w:firstLine="0"/>
      </w:pPr>
      <w:r w:rsidRPr="00296595">
        <w:t>From the ICC code change discussion:</w:t>
      </w:r>
    </w:p>
    <w:p w14:paraId="76CE8F74" w14:textId="47694BA5" w:rsidR="001E5939" w:rsidRPr="00296595" w:rsidRDefault="001E5939" w:rsidP="00916608">
      <w:pPr>
        <w:spacing w:after="120"/>
        <w:ind w:left="288" w:right="288" w:firstLine="0"/>
        <w:rPr>
          <w:rFonts w:ascii="Arial" w:hAnsi="Arial" w:cs="Arial"/>
          <w:sz w:val="18"/>
          <w:szCs w:val="18"/>
        </w:rPr>
      </w:pPr>
      <w:r w:rsidRPr="00296595">
        <w:rPr>
          <w:rFonts w:ascii="Arial" w:hAnsi="Arial" w:cs="Arial"/>
          <w:sz w:val="18"/>
          <w:szCs w:val="18"/>
        </w:rPr>
        <w:t>While a good fire test, it is recognized that the NFPA 285 fire test has some limitations. If the combustible exterior wall assembly contributes to fire spread in a high-rise building, the fire service will be challenged to address the fire scenario. Sprinkler protection within the building reduces the likelihood that a combustible exterior wall assembly will be</w:t>
      </w:r>
      <w:r w:rsidRPr="00296595">
        <w:rPr>
          <w:rFonts w:ascii="Arial" w:hAnsi="Arial" w:cs="Arial"/>
          <w:sz w:val="18"/>
          <w:szCs w:val="18"/>
        </w:rPr>
        <w:lastRenderedPageBreak/>
        <w:t>come involved in the fire as the result of an interior fire event.</w:t>
      </w:r>
    </w:p>
    <w:p w14:paraId="3FCABA83" w14:textId="4FFB8553" w:rsidR="0062278F" w:rsidRPr="00296595" w:rsidRDefault="001E5939" w:rsidP="00107341">
      <w:pPr>
        <w:ind w:left="288" w:right="288"/>
        <w:rPr>
          <w:rFonts w:ascii="Arial" w:hAnsi="Arial" w:cs="Arial"/>
          <w:sz w:val="18"/>
          <w:szCs w:val="18"/>
        </w:rPr>
      </w:pPr>
      <w:r w:rsidRPr="00296595">
        <w:rPr>
          <w:rFonts w:ascii="Arial" w:hAnsi="Arial" w:cs="Arial"/>
          <w:sz w:val="18"/>
          <w:szCs w:val="18"/>
        </w:rPr>
        <w:t>This proposal will not require a building to be retro-fitted with interior fire sprinklers if exterior wall coverings or envelopes are contemplated, it will simply limit the type of materials to non-combustible types should an interior sprinkler system not be present.</w:t>
      </w:r>
    </w:p>
    <w:p w14:paraId="7C31923F" w14:textId="77777777" w:rsidR="00345DE7" w:rsidRPr="00296595" w:rsidRDefault="00345DE7" w:rsidP="00345DE7">
      <w:pPr>
        <w:spacing w:before="120" w:after="120"/>
        <w:ind w:firstLine="0"/>
        <w:jc w:val="center"/>
      </w:pPr>
      <w:r w:rsidRPr="00296595">
        <w:t>~ ~ ~ ~ ~</w:t>
      </w:r>
    </w:p>
    <w:p w14:paraId="34ADFEF5" w14:textId="7B04DA56" w:rsidR="00BB4CA8" w:rsidRPr="00296595" w:rsidRDefault="00C84862" w:rsidP="005F5291">
      <w:pPr>
        <w:ind w:firstLine="0"/>
      </w:pPr>
      <w:r w:rsidRPr="00296595">
        <w:t>Under Chapter 4, Repairs, new language has been added to section 401.2 to clarify that it is not the intent of the code that work resulting from a repair but beyond the immediate item being repaired does not trigger a requirement to treat the related work as an alteration.</w:t>
      </w:r>
    </w:p>
    <w:p w14:paraId="1C51CFAA" w14:textId="2FD475FF" w:rsidR="00C84862" w:rsidRPr="00296595" w:rsidRDefault="00C84862" w:rsidP="00C84862">
      <w:pPr>
        <w:spacing w:before="120" w:after="120"/>
        <w:ind w:left="288" w:right="288" w:firstLine="0"/>
        <w:rPr>
          <w:u w:val="single"/>
        </w:rPr>
      </w:pPr>
      <w:r w:rsidRPr="00296595">
        <w:rPr>
          <w:b/>
          <w:bCs/>
        </w:rPr>
        <w:t>401.2 Compliance.</w:t>
      </w:r>
      <w:r w:rsidRPr="00296595">
        <w:t xml:space="preserve"> The work shall not make the building less complying than it was before the repair was undertaken. </w:t>
      </w:r>
      <w:r w:rsidRPr="00296595">
        <w:rPr>
          <w:u w:val="single"/>
        </w:rPr>
        <w:t>Work on nondamaged components that is necessary for the required repair of damaged components shall be considered part of the repair and shall not be subject to requirements for alterations.</w:t>
      </w:r>
    </w:p>
    <w:p w14:paraId="37FDF4F5" w14:textId="04C1522F" w:rsidR="00C84862" w:rsidRPr="00296595" w:rsidRDefault="00C84862" w:rsidP="005F5291">
      <w:pPr>
        <w:ind w:firstLine="0"/>
      </w:pPr>
      <w:r w:rsidRPr="00296595">
        <w:t>[</w:t>
      </w:r>
      <w:r w:rsidRPr="00296595">
        <w:rPr>
          <w:i/>
          <w:iCs/>
        </w:rPr>
        <w:t>The new language is underscored</w:t>
      </w:r>
      <w:r w:rsidRPr="00296595">
        <w:t>.]</w:t>
      </w:r>
    </w:p>
    <w:p w14:paraId="2B1C153A" w14:textId="77777777" w:rsidR="00C84862" w:rsidRPr="00296595" w:rsidRDefault="00C84862" w:rsidP="00C84862">
      <w:pPr>
        <w:spacing w:before="120" w:after="120"/>
        <w:ind w:firstLine="0"/>
        <w:jc w:val="center"/>
      </w:pPr>
      <w:r w:rsidRPr="00296595">
        <w:t>~ ~ ~ ~ ~</w:t>
      </w:r>
    </w:p>
    <w:p w14:paraId="56E63657" w14:textId="56753F3B" w:rsidR="00C84862" w:rsidRPr="00296595" w:rsidRDefault="00AC5EC3" w:rsidP="00AC5EC3">
      <w:pPr>
        <w:spacing w:after="120"/>
        <w:ind w:firstLine="0"/>
      </w:pPr>
      <w:r w:rsidRPr="00296595">
        <w:t>New language was added in Chapter 5 relating to additions to provide better coordination between the IBC and the IEBC. The code change proposal addressed provisions in the IBC that previously had nothing pointing to them from the IEBC:</w:t>
      </w:r>
    </w:p>
    <w:p w14:paraId="1BEC08F5" w14:textId="77777777" w:rsidR="00496400" w:rsidRPr="00296595" w:rsidRDefault="00496400" w:rsidP="00496400">
      <w:pPr>
        <w:spacing w:after="120"/>
        <w:ind w:left="288" w:right="288" w:firstLine="0"/>
      </w:pPr>
      <w:r w:rsidRPr="00296595">
        <w:rPr>
          <w:b/>
          <w:bCs/>
        </w:rPr>
        <w:t>[BS] 502.1.1 Risk category assignment.</w:t>
      </w:r>
      <w:r w:rsidRPr="00296595">
        <w:t xml:space="preserve"> Where the addition and the existing building have different occupancies, the risk category of each existing and added occupancy shall be determined in accordance with Section 1604.5.1 of the International Building Code. Where application of that section results in a higher risk category for the existing building compared with the risk category for the existing building before the addition, such a change shall be considered a change of occupancy and shall comply with Section 506 of this code. Where application of that section results in a higher risk category for the addition compared with the risk category for the addition by itself, the addition and any systems in the existing building required to serve the addition shall comply with the requirements of the International Building Code for new construction for the higher risk category.</w:t>
      </w:r>
    </w:p>
    <w:p w14:paraId="7884A4CB" w14:textId="77777777" w:rsidR="00496400" w:rsidRPr="00296595" w:rsidRDefault="00496400" w:rsidP="00496400">
      <w:pPr>
        <w:spacing w:after="120"/>
        <w:ind w:left="288" w:right="288" w:firstLine="0"/>
      </w:pPr>
      <w:r w:rsidRPr="00296595">
        <w:rPr>
          <w:b/>
          <w:bCs/>
        </w:rPr>
        <w:t>502.1.2 Creation or extension of nonconformity.</w:t>
      </w:r>
      <w:r w:rsidRPr="00296595">
        <w:t xml:space="preserve"> An addition shall not create or extend any nonconformity in the existing building to which the addition is being made with regard to accessibility, structural strength, supports and attachments for nonstructural components, fire safety, means of egress or the capacity of mechanical, plumbing or electrical systems.</w:t>
      </w:r>
    </w:p>
    <w:p w14:paraId="3CB85561" w14:textId="517168B8" w:rsidR="005F5291" w:rsidRPr="00296595" w:rsidRDefault="00496400" w:rsidP="00496400">
      <w:pPr>
        <w:spacing w:after="120"/>
        <w:ind w:left="576" w:right="288" w:firstLine="0"/>
      </w:pPr>
      <w:r w:rsidRPr="00296595">
        <w:rPr>
          <w:b/>
          <w:bCs/>
        </w:rPr>
        <w:t>Exception:</w:t>
      </w:r>
      <w:r w:rsidRPr="00296595">
        <w:t xml:space="preserve"> Nonconforming supports and attachments for nonstructural components that serve the addition from within the existing building need not be altered to comply with International Building Code Section 1613 </w:t>
      </w:r>
      <w:r w:rsidRPr="00296595">
        <w:t>unless the components are part of the addition’s life-safety system or are required to serve an addition assigned to Risk Category IV.</w:t>
      </w:r>
    </w:p>
    <w:p w14:paraId="6FD357D7" w14:textId="69D71895" w:rsidR="00496400" w:rsidRPr="00296595" w:rsidRDefault="00496400" w:rsidP="00496400">
      <w:pPr>
        <w:spacing w:after="120"/>
        <w:ind w:firstLine="0"/>
      </w:pPr>
      <w:r w:rsidRPr="00296595">
        <w:t>This is something plans examiners are going to have to look for during plan review. The construction documents should indicate in some way that this risk assessment was performed, and spell out the result. If the project includes structural drawings (which most addition projects probably will), the logical place for this would be in the structural portion of the set, but it could also be placed in the general project information portion of the set.</w:t>
      </w:r>
      <w:r w:rsidR="00D90AB6" w:rsidRPr="00296595">
        <w:t xml:space="preserve"> [Note: This new requirement is repeated in IEBC section 1101.3]</w:t>
      </w:r>
    </w:p>
    <w:p w14:paraId="5F26A27A" w14:textId="77777777" w:rsidR="00496400" w:rsidRPr="00296595" w:rsidRDefault="00496400" w:rsidP="00496400">
      <w:pPr>
        <w:spacing w:before="120" w:after="120"/>
        <w:ind w:firstLine="0"/>
        <w:jc w:val="center"/>
      </w:pPr>
      <w:r w:rsidRPr="00296595">
        <w:t>~ ~ ~ ~ ~</w:t>
      </w:r>
    </w:p>
    <w:p w14:paraId="01376D86" w14:textId="707EB90E" w:rsidR="00C84862" w:rsidRPr="00296595" w:rsidRDefault="00D90AB6" w:rsidP="005F5291">
      <w:pPr>
        <w:ind w:firstLine="0"/>
      </w:pPr>
      <w:r w:rsidRPr="00296595">
        <w:t>The next one is a “biggie,” and in this author’s opinion will necessitate coordination and cooperation between the building department and the fire marshal’s office. An entirely new section has been added to the IEBC requiring that the owner have a written fire safety program for all construction, repair, alteration, or demolition work, and that this plan must be approved before a building permit can be issued.</w:t>
      </w:r>
    </w:p>
    <w:p w14:paraId="7FC2F0AC" w14:textId="77777777" w:rsidR="00D90AB6" w:rsidRPr="00296595" w:rsidRDefault="00D90AB6" w:rsidP="00D90AB6">
      <w:pPr>
        <w:spacing w:before="120" w:after="120"/>
        <w:ind w:left="288" w:right="288" w:firstLine="0"/>
      </w:pPr>
      <w:r w:rsidRPr="00296595">
        <w:rPr>
          <w:b/>
          <w:bCs/>
        </w:rPr>
        <w:t>[F] 1502.1 Site safety plan.</w:t>
      </w:r>
      <w:r w:rsidRPr="00296595">
        <w:t xml:space="preserve"> The owner or owner’s authorized agent shall be responsible for the development, implementation and maintenance of an approved, written site safety plan establishing a fire prevention program at the project site applicable throughout all phases of the construction, repair, alteration or demolition work. </w:t>
      </w:r>
      <w:r w:rsidRPr="00296595">
        <w:rPr>
          <w:highlight w:val="yellow"/>
        </w:rPr>
        <w:t>The plan shall be submitted and approved before a building permit is issued.</w:t>
      </w:r>
      <w:r w:rsidRPr="00296595">
        <w:t xml:space="preserve"> Any changes to the plan shall address the requirements of this chapter and other applicable portions of the International Fire Code, the duties of staff and staff training requirements. </w:t>
      </w:r>
      <w:r w:rsidRPr="00296595">
        <w:rPr>
          <w:highlight w:val="yellow"/>
        </w:rPr>
        <w:t>The plan shall be submitted for approval in accordance with the International Fire Code.</w:t>
      </w:r>
    </w:p>
    <w:p w14:paraId="0380DF77" w14:textId="77777777" w:rsidR="00D90AB6" w:rsidRPr="00296595" w:rsidRDefault="00D90AB6" w:rsidP="0040665B">
      <w:pPr>
        <w:spacing w:before="120" w:after="120"/>
        <w:ind w:left="288" w:right="288" w:firstLine="0"/>
      </w:pPr>
      <w:r w:rsidRPr="00296595">
        <w:rPr>
          <w:b/>
          <w:bCs/>
        </w:rPr>
        <w:t>[F] 1502.1.1 Components of site safety plans.</w:t>
      </w:r>
      <w:r w:rsidRPr="00296595">
        <w:t xml:space="preserve"> Site safety plans shall include the following as applicable:</w:t>
      </w:r>
    </w:p>
    <w:p w14:paraId="44D99E10" w14:textId="0258748D" w:rsidR="00D90AB6" w:rsidRPr="00296595" w:rsidRDefault="00D90AB6" w:rsidP="0040665B">
      <w:pPr>
        <w:ind w:left="576" w:right="288" w:hanging="288"/>
      </w:pPr>
      <w:r w:rsidRPr="00296595">
        <w:t>1.</w:t>
      </w:r>
      <w:r w:rsidR="0040665B" w:rsidRPr="00296595">
        <w:tab/>
      </w:r>
      <w:r w:rsidRPr="00296595">
        <w:t>Name and contact information of site safety director.</w:t>
      </w:r>
    </w:p>
    <w:p w14:paraId="6B919B76" w14:textId="2B996CDE" w:rsidR="00D90AB6" w:rsidRPr="00296595" w:rsidRDefault="00D90AB6" w:rsidP="0040665B">
      <w:pPr>
        <w:ind w:left="576" w:right="288" w:hanging="288"/>
      </w:pPr>
      <w:r w:rsidRPr="00296595">
        <w:t>2.</w:t>
      </w:r>
      <w:r w:rsidR="0040665B" w:rsidRPr="00296595">
        <w:tab/>
      </w:r>
      <w:r w:rsidRPr="00296595">
        <w:t>Documentation of the training of the site safety director and fire watch personnel.</w:t>
      </w:r>
    </w:p>
    <w:p w14:paraId="4C05F1EE" w14:textId="679D3E0C" w:rsidR="00D90AB6" w:rsidRPr="00296595" w:rsidRDefault="00D90AB6" w:rsidP="0040665B">
      <w:pPr>
        <w:ind w:left="576" w:right="288" w:hanging="288"/>
      </w:pPr>
      <w:r w:rsidRPr="00296595">
        <w:t>3.</w:t>
      </w:r>
      <w:r w:rsidR="0040665B" w:rsidRPr="00296595">
        <w:tab/>
      </w:r>
      <w:r w:rsidRPr="00296595">
        <w:t>Procedures for reporting emergencies.</w:t>
      </w:r>
    </w:p>
    <w:p w14:paraId="1B1F1F3D" w14:textId="500429AA" w:rsidR="00D90AB6" w:rsidRPr="00296595" w:rsidRDefault="00D90AB6" w:rsidP="0040665B">
      <w:pPr>
        <w:ind w:left="576" w:right="288" w:hanging="288"/>
      </w:pPr>
      <w:r w:rsidRPr="00296595">
        <w:t>4.</w:t>
      </w:r>
      <w:r w:rsidR="0040665B" w:rsidRPr="00296595">
        <w:tab/>
      </w:r>
      <w:r w:rsidRPr="00296595">
        <w:t>Fire department vehicle access routes.</w:t>
      </w:r>
    </w:p>
    <w:p w14:paraId="13FE3098" w14:textId="24559DFB" w:rsidR="00D90AB6" w:rsidRPr="00296595" w:rsidRDefault="00D90AB6" w:rsidP="0040665B">
      <w:pPr>
        <w:ind w:left="576" w:right="288" w:hanging="288"/>
      </w:pPr>
      <w:r w:rsidRPr="00296595">
        <w:t>5.</w:t>
      </w:r>
      <w:r w:rsidR="0040665B" w:rsidRPr="00296595">
        <w:tab/>
      </w:r>
      <w:r w:rsidRPr="00296595">
        <w:t>Location of fire protection equipment, including portable fire extinguishers, standpipes, fire department connections and fire hydrants.</w:t>
      </w:r>
    </w:p>
    <w:p w14:paraId="199AEAFF" w14:textId="56BB940B" w:rsidR="00D90AB6" w:rsidRPr="00296595" w:rsidRDefault="00D90AB6" w:rsidP="0040665B">
      <w:pPr>
        <w:ind w:left="576" w:right="288" w:hanging="288"/>
      </w:pPr>
      <w:r w:rsidRPr="00296595">
        <w:t>6.</w:t>
      </w:r>
      <w:r w:rsidR="0040665B" w:rsidRPr="00296595">
        <w:tab/>
      </w:r>
      <w:r w:rsidRPr="00296595">
        <w:t>Smoking and cooking policies, designated areas to be used where approved and signage locations in accordance with the International Fire Code.</w:t>
      </w:r>
    </w:p>
    <w:p w14:paraId="6735FFD1" w14:textId="1A2C1F84" w:rsidR="00D90AB6" w:rsidRPr="00296595" w:rsidRDefault="00D90AB6" w:rsidP="0040665B">
      <w:pPr>
        <w:ind w:left="576" w:right="288" w:hanging="288"/>
      </w:pPr>
      <w:r w:rsidRPr="00296595">
        <w:t>7.</w:t>
      </w:r>
      <w:r w:rsidR="0040665B" w:rsidRPr="00296595">
        <w:tab/>
      </w:r>
      <w:r w:rsidRPr="00296595">
        <w:t>Location and safety considerations for temporary heating equipment.</w:t>
      </w:r>
    </w:p>
    <w:p w14:paraId="1DA3E432" w14:textId="0C6DA8B3" w:rsidR="00D90AB6" w:rsidRPr="00296595" w:rsidRDefault="00D90AB6" w:rsidP="0040665B">
      <w:pPr>
        <w:ind w:left="576" w:right="288" w:hanging="288"/>
      </w:pPr>
      <w:r w:rsidRPr="00296595">
        <w:t>8.</w:t>
      </w:r>
      <w:r w:rsidR="0040665B" w:rsidRPr="00296595">
        <w:tab/>
      </w:r>
      <w:r w:rsidRPr="00296595">
        <w:t>Hot work permit plan.</w:t>
      </w:r>
    </w:p>
    <w:p w14:paraId="337621E4" w14:textId="675DE711" w:rsidR="00D90AB6" w:rsidRPr="00296595" w:rsidRDefault="00D90AB6" w:rsidP="0040665B">
      <w:pPr>
        <w:ind w:left="576" w:right="288" w:hanging="288"/>
      </w:pPr>
      <w:r w:rsidRPr="00296595">
        <w:t>9.</w:t>
      </w:r>
      <w:r w:rsidR="0040665B" w:rsidRPr="00296595">
        <w:tab/>
      </w:r>
      <w:r w:rsidRPr="00296595">
        <w:t>Plans for control of combustible waste material.</w:t>
      </w:r>
    </w:p>
    <w:p w14:paraId="55FEE57E" w14:textId="3D715564" w:rsidR="00D90AB6" w:rsidRPr="00296595" w:rsidRDefault="00D90AB6" w:rsidP="0040665B">
      <w:pPr>
        <w:ind w:left="576" w:right="288" w:hanging="288"/>
      </w:pPr>
      <w:r w:rsidRPr="00296595">
        <w:t>10. Locations and methods for storage and use of flammable and combustible liquids and other hazardous materials.</w:t>
      </w:r>
    </w:p>
    <w:p w14:paraId="2EB6FF6C" w14:textId="19B1F875" w:rsidR="00D90AB6" w:rsidRPr="00296595" w:rsidRDefault="00D90AB6" w:rsidP="0040665B">
      <w:pPr>
        <w:ind w:left="576" w:right="288" w:hanging="288"/>
      </w:pPr>
      <w:r w:rsidRPr="00296595">
        <w:t>11. Provisions for site security and, where required, for a fire watch.</w:t>
      </w:r>
    </w:p>
    <w:p w14:paraId="3D71943F" w14:textId="6B1CD98C" w:rsidR="00D90AB6" w:rsidRPr="00296595" w:rsidRDefault="00D90AB6" w:rsidP="0040665B">
      <w:pPr>
        <w:ind w:left="576" w:right="288" w:hanging="288"/>
      </w:pPr>
      <w:r w:rsidRPr="00296595">
        <w:lastRenderedPageBreak/>
        <w:t>12. Changes that affect this plan.</w:t>
      </w:r>
    </w:p>
    <w:p w14:paraId="49510FB3" w14:textId="3B0DA427" w:rsidR="00D90AB6" w:rsidRPr="00296595" w:rsidRDefault="00D90AB6" w:rsidP="0040665B">
      <w:pPr>
        <w:ind w:left="576" w:right="288" w:hanging="288"/>
      </w:pPr>
      <w:r w:rsidRPr="00296595">
        <w:t>13. Other site-specific information required by the International Fire Code.</w:t>
      </w:r>
    </w:p>
    <w:p w14:paraId="6480EEF0" w14:textId="76B1CF7D" w:rsidR="00D90AB6" w:rsidRPr="00296595" w:rsidRDefault="00D90AB6" w:rsidP="0040665B">
      <w:pPr>
        <w:spacing w:before="120" w:after="120"/>
        <w:ind w:left="288" w:right="288" w:firstLine="0"/>
      </w:pPr>
      <w:r w:rsidRPr="00296595">
        <w:rPr>
          <w:b/>
          <w:bCs/>
        </w:rPr>
        <w:t>[F] 1502.2 Site safety director.</w:t>
      </w:r>
      <w:r w:rsidRPr="00296595">
        <w:t xml:space="preserve"> The owner shall designate a person to be the site safety director. The site safety director shall be responsible for ensuring compliance with the site safety plan. The site safety director shall have the authority to enforce the provisions of this chapter and other provisions as necessary to secure the intent of this chapter. Where guard service is provided in accordance with the International Fire Code, the site safety director shall be responsible for the guard service.</w:t>
      </w:r>
    </w:p>
    <w:p w14:paraId="0E26C886" w14:textId="77777777" w:rsidR="005D307E" w:rsidRPr="00296595" w:rsidRDefault="005D307E" w:rsidP="005D307E">
      <w:pPr>
        <w:spacing w:before="120" w:after="120"/>
        <w:ind w:left="288" w:right="288" w:firstLine="0"/>
      </w:pPr>
      <w:r w:rsidRPr="00296595">
        <w:rPr>
          <w:b/>
          <w:bCs/>
        </w:rPr>
        <w:t>[F] 1502.3 Daily fire safety inspection.</w:t>
      </w:r>
      <w:r w:rsidRPr="00296595">
        <w:t xml:space="preserve"> The site safety director shall be responsible for completion of a daily fire safety inspection at the project site. Each day, all building and outdoor areas shall be inspected to ensure compliance with the inspection list in this section. The results of each inspection shall be documented and maintained on-site until a certificate of occupancy has been issued. Documentation shall be immediately available on-site for inspection and review.</w:t>
      </w:r>
    </w:p>
    <w:p w14:paraId="47BE379C" w14:textId="35BFCA7F" w:rsidR="005D307E" w:rsidRPr="00296595" w:rsidRDefault="005D307E" w:rsidP="005D307E">
      <w:pPr>
        <w:ind w:left="576" w:right="288" w:hanging="288"/>
      </w:pPr>
      <w:r w:rsidRPr="00296595">
        <w:t>1.</w:t>
      </w:r>
      <w:r w:rsidRPr="00296595">
        <w:tab/>
        <w:t>Any contractors entering the site to perform hot work each day have been instructed in the hot work safety requirements in the International Fire Code, and hot work is performed only in areas approved by the site safety director.</w:t>
      </w:r>
    </w:p>
    <w:p w14:paraId="67684612" w14:textId="71322423" w:rsidR="005D307E" w:rsidRPr="00296595" w:rsidRDefault="005D307E" w:rsidP="005D307E">
      <w:pPr>
        <w:ind w:left="576" w:right="288" w:hanging="288"/>
      </w:pPr>
      <w:r w:rsidRPr="00296595">
        <w:t>2.</w:t>
      </w:r>
      <w:r w:rsidRPr="00296595">
        <w:tab/>
        <w:t>Temporary heating equipment is maintained away from combustible materials in accordance with the equipment manufacturer's instructions.</w:t>
      </w:r>
    </w:p>
    <w:p w14:paraId="26550326" w14:textId="43238F8E" w:rsidR="005D307E" w:rsidRPr="00296595" w:rsidRDefault="005D307E" w:rsidP="005D307E">
      <w:pPr>
        <w:ind w:left="576" w:right="288" w:hanging="288"/>
      </w:pPr>
      <w:r w:rsidRPr="00296595">
        <w:t>3.</w:t>
      </w:r>
      <w:r w:rsidRPr="00296595">
        <w:tab/>
        <w:t>Combustible debris, rubbish and waste material is removed from the building in areas where work is not being performed.</w:t>
      </w:r>
    </w:p>
    <w:p w14:paraId="26667DC8" w14:textId="2E691C79" w:rsidR="005D307E" w:rsidRPr="00296595" w:rsidRDefault="005D307E" w:rsidP="005D307E">
      <w:pPr>
        <w:ind w:left="576" w:right="288" w:hanging="288"/>
      </w:pPr>
      <w:r w:rsidRPr="00296595">
        <w:t>4.</w:t>
      </w:r>
      <w:r w:rsidRPr="00296595">
        <w:tab/>
        <w:t>Temporary wiring does not have exposed conductors.</w:t>
      </w:r>
    </w:p>
    <w:p w14:paraId="44F4253E" w14:textId="78B71EC2" w:rsidR="005D307E" w:rsidRPr="00296595" w:rsidRDefault="005D307E" w:rsidP="005D307E">
      <w:pPr>
        <w:ind w:left="576" w:right="288" w:hanging="288"/>
      </w:pPr>
      <w:r w:rsidRPr="00296595">
        <w:t>5.</w:t>
      </w:r>
      <w:r w:rsidRPr="00296595">
        <w:tab/>
        <w:t>Flammable liquids and other hazardous materials are stored in locations that have been approved by the site safety director when not involved in work that is being performed.</w:t>
      </w:r>
    </w:p>
    <w:p w14:paraId="65458F37" w14:textId="121F2783" w:rsidR="005D307E" w:rsidRPr="00296595" w:rsidRDefault="005D307E" w:rsidP="005D307E">
      <w:pPr>
        <w:ind w:left="576" w:right="288" w:hanging="288"/>
      </w:pPr>
      <w:r w:rsidRPr="00296595">
        <w:t>6.</w:t>
      </w:r>
      <w:r w:rsidRPr="00296595">
        <w:tab/>
        <w:t>Fire apparatus access roads required by the International Fire Code are maintained clear of obstructions that reduce the width of the usable roadway to less than 20 feet (6096 mm).</w:t>
      </w:r>
    </w:p>
    <w:p w14:paraId="38942D10" w14:textId="15FA7A5C" w:rsidR="005D307E" w:rsidRPr="00296595" w:rsidRDefault="005D307E" w:rsidP="005D307E">
      <w:pPr>
        <w:ind w:left="576" w:right="288" w:hanging="288"/>
      </w:pPr>
      <w:r w:rsidRPr="00296595">
        <w:t>7.</w:t>
      </w:r>
      <w:r w:rsidRPr="00296595">
        <w:tab/>
        <w:t>Fire hydrants are clearly visible from access roads and are not obstructed.</w:t>
      </w:r>
    </w:p>
    <w:p w14:paraId="279190DC" w14:textId="16737969" w:rsidR="005D307E" w:rsidRPr="00296595" w:rsidRDefault="005D307E" w:rsidP="005D307E">
      <w:pPr>
        <w:ind w:left="576" w:right="288" w:hanging="288"/>
      </w:pPr>
      <w:r w:rsidRPr="00296595">
        <w:t>8.</w:t>
      </w:r>
      <w:r w:rsidRPr="00296595">
        <w:tab/>
        <w:t>The location of fire department connections to standpipe and in-service sprinkler systems are clearly identifiable from the access road and such connections are not obstructed.</w:t>
      </w:r>
    </w:p>
    <w:p w14:paraId="166F1DCB" w14:textId="55D50F37" w:rsidR="005D307E" w:rsidRPr="00296595" w:rsidRDefault="005D307E" w:rsidP="005D307E">
      <w:pPr>
        <w:ind w:left="576" w:right="288" w:hanging="288"/>
      </w:pPr>
      <w:r w:rsidRPr="00296595">
        <w:t>9.</w:t>
      </w:r>
      <w:r w:rsidRPr="00296595">
        <w:tab/>
        <w:t>Standpipe systems are in service and continuous to the highest work floor, as specified in Section 1509.</w:t>
      </w:r>
    </w:p>
    <w:p w14:paraId="3FD6AE5E" w14:textId="7689C1BE" w:rsidR="005D307E" w:rsidRPr="00296595" w:rsidRDefault="005D307E" w:rsidP="005D307E">
      <w:pPr>
        <w:ind w:left="576" w:right="288" w:hanging="288"/>
      </w:pPr>
      <w:r w:rsidRPr="00296595">
        <w:t>10. Portable fire extinguishers are available in locations required by Section 1507 and for roofing operations in accordance with the International Fire Code.</w:t>
      </w:r>
    </w:p>
    <w:p w14:paraId="68334D05" w14:textId="210AD468" w:rsidR="00D90AB6" w:rsidRPr="00296595" w:rsidRDefault="005D307E" w:rsidP="005D307E">
      <w:pPr>
        <w:spacing w:after="120"/>
        <w:ind w:left="576" w:right="288" w:hanging="288"/>
      </w:pPr>
      <w:r w:rsidRPr="00296595">
        <w:t>11. Where a fire watch is required, fire watch records complying with the International Fire Code are up-to-date.</w:t>
      </w:r>
    </w:p>
    <w:p w14:paraId="6FECF106" w14:textId="198358B3" w:rsidR="00107341" w:rsidRPr="00296595" w:rsidRDefault="00107341" w:rsidP="00107341">
      <w:pPr>
        <w:ind w:firstLine="0"/>
      </w:pPr>
      <w:r w:rsidRPr="00296595">
        <w:t>The language of this new section does not appear to require that either the building department or the fire marshal’s office review to on-site daily fire safety inspection reports, but it does require that the reports be available. Since the code requires the reports to be available for review but does  not stipulate by whom, a reasonable interpretation is that either the building department or the fire marshal’s office has authority to review the daily safety inspection reports</w:t>
      </w:r>
      <w:r w:rsidR="00C76104" w:rsidRPr="00296595">
        <w:t xml:space="preserve"> at any time</w:t>
      </w:r>
      <w:r w:rsidRPr="00296595">
        <w:t>.</w:t>
      </w:r>
    </w:p>
    <w:p w14:paraId="1D2B4963" w14:textId="77777777" w:rsidR="00107341" w:rsidRPr="00296595" w:rsidRDefault="00107341" w:rsidP="005D307E">
      <w:pPr>
        <w:spacing w:after="120"/>
        <w:ind w:left="576" w:right="288" w:hanging="288"/>
      </w:pPr>
    </w:p>
    <w:p w14:paraId="188E5957" w14:textId="77777777" w:rsidR="003A613C" w:rsidRPr="00296595" w:rsidRDefault="003A613C" w:rsidP="00C34D00">
      <w:pPr>
        <w:ind w:firstLine="0"/>
        <w:sectPr w:rsidR="003A613C" w:rsidRPr="00296595" w:rsidSect="00107341">
          <w:headerReference w:type="default" r:id="rId12"/>
          <w:type w:val="continuous"/>
          <w:pgSz w:w="12240" w:h="15840" w:code="1"/>
          <w:pgMar w:top="720" w:right="720" w:bottom="720" w:left="720" w:header="720" w:footer="720" w:gutter="0"/>
          <w:cols w:num="2" w:space="288"/>
          <w:titlePg/>
          <w:docGrid w:linePitch="360"/>
        </w:sectPr>
      </w:pPr>
    </w:p>
    <w:p w14:paraId="37474E4D" w14:textId="08AA6A0D" w:rsidR="00107341" w:rsidRPr="00296595" w:rsidRDefault="00107341" w:rsidP="00107341">
      <w:pPr>
        <w:pBdr>
          <w:bottom w:val="single" w:sz="6" w:space="1" w:color="auto"/>
        </w:pBdr>
        <w:ind w:firstLine="0"/>
      </w:pPr>
    </w:p>
    <w:p w14:paraId="7318C8E9" w14:textId="42B5E7EA" w:rsidR="00ED6C68" w:rsidRPr="00296595" w:rsidRDefault="00554626" w:rsidP="00107341">
      <w:pPr>
        <w:spacing w:before="120" w:after="120"/>
        <w:ind w:firstLine="0"/>
      </w:pPr>
      <w:r w:rsidRPr="00296595">
        <w:t>© Copyright 202</w:t>
      </w:r>
      <w:r w:rsidR="0095665D" w:rsidRPr="00296595">
        <w:t>6</w:t>
      </w:r>
      <w:r w:rsidRPr="00296595">
        <w:t xml:space="preserve"> Harwood W. Loomis. </w:t>
      </w:r>
      <w:r w:rsidR="00ED6C68" w:rsidRPr="00296595">
        <w:t>Opinions expressed in this publication are the personal and professional opinions of the author. They are not binding, but are provided for the purpose of sharing information developed through more than 40 years as a licensed architect and 30 years as a licensed building official. Pursuant to Connecticut General Statutes section 29-252(c), only the State Building Inspector or his (her) designee is authorized to issue interpretations of the State Building Code.</w:t>
      </w:r>
    </w:p>
    <w:p w14:paraId="62D97610" w14:textId="5E2793A9" w:rsidR="00505F07" w:rsidRPr="00296595" w:rsidRDefault="00E108AD" w:rsidP="00063EAF">
      <w:r w:rsidRPr="00296595">
        <w:rPr>
          <w:noProof/>
        </w:rPr>
        <mc:AlternateContent>
          <mc:Choice Requires="wps">
            <w:drawing>
              <wp:anchor distT="45720" distB="45720" distL="114300" distR="114300" simplePos="0" relativeHeight="251659264" behindDoc="0" locked="0" layoutInCell="1" allowOverlap="1" wp14:anchorId="3CA9313F" wp14:editId="1651D6F1">
                <wp:simplePos x="0" y="0"/>
                <wp:positionH relativeFrom="column">
                  <wp:posOffset>4005580</wp:posOffset>
                </wp:positionH>
                <wp:positionV relativeFrom="paragraph">
                  <wp:posOffset>2540</wp:posOffset>
                </wp:positionV>
                <wp:extent cx="2360930" cy="1552575"/>
                <wp:effectExtent l="0" t="0" r="158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52575"/>
                        </a:xfrm>
                        <a:prstGeom prst="rect">
                          <a:avLst/>
                        </a:prstGeom>
                        <a:solidFill>
                          <a:srgbClr val="FFFFFF"/>
                        </a:solidFill>
                        <a:ln w="9525">
                          <a:solidFill>
                            <a:srgbClr val="000000"/>
                          </a:solidFill>
                          <a:miter lim="800000"/>
                          <a:headEnd/>
                          <a:tailEnd/>
                        </a:ln>
                      </wps:spPr>
                      <wps:txbx>
                        <w:txbxContent>
                          <w:p w14:paraId="41353CBF" w14:textId="329203CC" w:rsidR="00E108AD" w:rsidRDefault="00E108AD" w:rsidP="00D522BC">
                            <w:pPr>
                              <w:spacing w:before="120"/>
                            </w:pPr>
                            <w:r>
                              <w:t xml:space="preserve">What topics would you like to see discussed in future issues? It helps all of us if we can all be on the same page, to avoid those “But I never have to do that in </w:t>
                            </w:r>
                            <w:r w:rsidR="00F75EE7">
                              <w:t>[town]</w:t>
                            </w:r>
                            <w:r w:rsidR="00554626">
                              <w:t>”</w:t>
                            </w:r>
                            <w:r>
                              <w:t xml:space="preserve"> complaints.</w:t>
                            </w:r>
                          </w:p>
                          <w:p w14:paraId="5A7EE2D5" w14:textId="77777777" w:rsidR="00E108AD" w:rsidRDefault="00E108AD" w:rsidP="00E108AD"/>
                          <w:p w14:paraId="79802875" w14:textId="19F39DAD" w:rsidR="00E108AD" w:rsidRDefault="00E108AD" w:rsidP="00E108AD">
                            <w:r>
                              <w:t>Send me an e-mail if you think of any issues that affect all building officials, everywhere.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3CA9313F" id="_x0000_t202" coordsize="21600,21600" o:spt="202" path="m,l,21600r21600,l21600,xe">
                <v:stroke joinstyle="miter"/>
                <v:path gradientshapeok="t" o:connecttype="rect"/>
              </v:shapetype>
              <v:shape id="Text Box 2" o:spid="_x0000_s1026" type="#_x0000_t202" style="position:absolute;left:0;text-align:left;margin-left:315.4pt;margin-top:.2pt;width:185.9pt;height:122.25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">
                <v:textbox>
                  <w:txbxContent>
                    <w:p w14:paraId="41353CBF" w14:textId="329203CC" w:rsidR="00E108AD" w:rsidRDefault="00E108AD" w:rsidP="00D522BC">
                      <w:pPr>
                        <w:spacing w:before="120"/>
                      </w:pPr>
                      <w:r>
                        <w:t xml:space="preserve">What topics would you like to see discussed in future issues? It helps all of us if we can all be on the same page, to avoid those “But I never have to do that in </w:t>
                      </w:r>
                      <w:r w:rsidR="00F75EE7">
                        <w:t>[town]</w:t>
                      </w:r>
                      <w:r w:rsidR="00554626">
                        <w:t>”</w:t>
                      </w:r>
                      <w:r>
                        <w:t xml:space="preserve"> complaints.</w:t>
                      </w:r>
                    </w:p>
                    <w:p w14:paraId="5A7EE2D5" w14:textId="77777777" w:rsidR="00E108AD" w:rsidRDefault="00E108AD" w:rsidP="00E108AD"/>
                    <w:p w14:paraId="79802875" w14:textId="19F39DAD" w:rsidR="00E108AD" w:rsidRDefault="00E108AD" w:rsidP="00E108AD">
                      <w:r>
                        <w:t>Send me an e-mail if you think of any issues that affect all building officials, everywhere.</w:t>
                      </w:r>
                    </w:p>
                  </w:txbxContent>
                </v:textbox>
                <w10:wrap type="square"/>
              </v:shape>
            </w:pict>
          </mc:Fallback>
        </mc:AlternateContent>
      </w:r>
      <w:r w:rsidR="00807049" w:rsidRPr="00296595">
        <w:t>The editor is a licensed architect and a licensed building official, with more than 40 years</w:t>
      </w:r>
      <w:r w:rsidR="00E6251F" w:rsidRPr="00296595">
        <w:t xml:space="preserve"> of </w:t>
      </w:r>
      <w:r w:rsidR="00807049" w:rsidRPr="00296595">
        <w:t xml:space="preserve">experience. I offer non-structural plan review services for projects of any size, with </w:t>
      </w:r>
      <w:r w:rsidR="005A5B4F" w:rsidRPr="00296595">
        <w:t>special</w:t>
      </w:r>
      <w:r w:rsidR="00807049" w:rsidRPr="00296595">
        <w:t xml:space="preserve"> rates </w:t>
      </w:r>
      <w:r w:rsidR="005A5B4F" w:rsidRPr="00296595">
        <w:t>for</w:t>
      </w:r>
      <w:r w:rsidR="00807049" w:rsidRPr="00296595">
        <w:t xml:space="preserve"> municipal building departments.</w:t>
      </w:r>
    </w:p>
    <w:p w14:paraId="4B93369A" w14:textId="2074290A" w:rsidR="007D522E" w:rsidRPr="00296595" w:rsidRDefault="007D522E" w:rsidP="00063EAF"/>
    <w:p w14:paraId="69A29646" w14:textId="620CA0EF" w:rsidR="00807049" w:rsidRPr="00296595" w:rsidRDefault="00807049" w:rsidP="00063EAF">
      <w:r w:rsidRPr="00296595">
        <w:t>Please contact me to discuss your needs.</w:t>
      </w:r>
    </w:p>
    <w:p w14:paraId="1D6BDD97" w14:textId="77777777" w:rsidR="00807049" w:rsidRPr="00296595" w:rsidRDefault="00807049" w:rsidP="00063EAF"/>
    <w:p w14:paraId="4E209B62" w14:textId="77777777" w:rsidR="00807049" w:rsidRPr="00296595" w:rsidRDefault="00807049" w:rsidP="00063EAF">
      <w:r w:rsidRPr="00296595">
        <w:t>Harwood W. Loomis, RA, NCARB</w:t>
      </w:r>
    </w:p>
    <w:p w14:paraId="53F5DAEA" w14:textId="77777777" w:rsidR="00807049" w:rsidRPr="00296595" w:rsidRDefault="00807049" w:rsidP="00063EAF">
      <w:r w:rsidRPr="00296595">
        <w:t>Licensed Architect / Licensed Building Official</w:t>
      </w:r>
    </w:p>
    <w:p w14:paraId="19DC1475" w14:textId="77777777" w:rsidR="00807049" w:rsidRPr="00296595" w:rsidRDefault="00807049" w:rsidP="00063EAF">
      <w:r w:rsidRPr="00296595">
        <w:t>203-393-3470</w:t>
      </w:r>
    </w:p>
    <w:p w14:paraId="2B0990FD" w14:textId="77777777" w:rsidR="002E4014" w:rsidRPr="00296595" w:rsidRDefault="007D522E" w:rsidP="00063EAF">
      <w:r w:rsidRPr="00296595">
        <w:t>e-mail: h</w:t>
      </w:r>
      <w:r w:rsidR="00807049" w:rsidRPr="00296595">
        <w:t>arwood.w.loomis@att.net</w:t>
      </w:r>
    </w:p>
    <w:sectPr w:rsidR="002E4014" w:rsidRPr="00296595" w:rsidSect="00CA4A11">
      <w:headerReference w:type="first" r:id="rId13"/>
      <w:type w:val="continuous"/>
      <w:pgSz w:w="12240" w:h="15840" w:code="1"/>
      <w:pgMar w:top="720" w:right="720" w:bottom="720" w:left="720" w:header="720" w:footer="720" w:gutter="0"/>
      <w:cols w:space="432"/>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87987" w14:textId="77777777" w:rsidR="00B126B5" w:rsidRDefault="00B126B5">
      <w:r>
        <w:separator/>
      </w:r>
    </w:p>
  </w:endnote>
  <w:endnote w:type="continuationSeparator" w:id="0">
    <w:p w14:paraId="1CE149D7" w14:textId="77777777" w:rsidR="00B126B5" w:rsidRDefault="00B12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ld English Text MT">
    <w:panose1 w:val="03040902040508030806"/>
    <w:charset w:val="00"/>
    <w:family w:val="script"/>
    <w:pitch w:val="variable"/>
    <w:sig w:usb0="00000003" w:usb1="00000000" w:usb2="00000000" w:usb3="00000000" w:csb0="00000001" w:csb1="00000000"/>
  </w:font>
  <w:font w:name="Avignon Pro">
    <w:panose1 w:val="02000503040000020004"/>
    <w:charset w:val="00"/>
    <w:family w:val="auto"/>
    <w:pitch w:val="variable"/>
    <w:sig w:usb0="A000006F" w:usb1="500078BB" w:usb2="00000000" w:usb3="00000000" w:csb0="00000093" w:csb1="00000000"/>
  </w:font>
  <w:font w:name="GothicE">
    <w:panose1 w:val="00000400000000000000"/>
    <w:charset w:val="00"/>
    <w:family w:val="auto"/>
    <w:pitch w:val="variable"/>
    <w:sig w:usb0="20002A87" w:usb1="00000000" w:usb2="00000000"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65427" w14:textId="77777777" w:rsidR="00B126B5" w:rsidRDefault="00B126B5">
      <w:r>
        <w:separator/>
      </w:r>
    </w:p>
  </w:footnote>
  <w:footnote w:type="continuationSeparator" w:id="0">
    <w:p w14:paraId="0062D230" w14:textId="77777777" w:rsidR="00B126B5" w:rsidRDefault="00B126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CE41D" w14:textId="77777777" w:rsidR="00703DC5" w:rsidRPr="001F63AF" w:rsidRDefault="00703DC5" w:rsidP="00703DC5">
    <w:pPr>
      <w:pStyle w:val="Header"/>
      <w:ind w:firstLine="0"/>
      <w:jc w:val="center"/>
      <w:rPr>
        <w:rFonts w:ascii="Old English Text MT" w:hAnsi="Old English Text MT" w:cs="GothicE"/>
        <w:sz w:val="72"/>
        <w:szCs w:val="72"/>
      </w:rPr>
    </w:pPr>
    <w:r w:rsidRPr="001F63AF">
      <w:rPr>
        <w:rFonts w:ascii="Old English Text MT" w:hAnsi="Old English Text MT" w:cs="GothicE"/>
        <w:sz w:val="72"/>
        <w:szCs w:val="72"/>
      </w:rPr>
      <w:t>Connecticut Code Chronicle</w:t>
    </w:r>
  </w:p>
  <w:p w14:paraId="36B7FBCF" w14:textId="77777777" w:rsidR="00703DC5" w:rsidRDefault="00703DC5" w:rsidP="00703DC5">
    <w:pPr>
      <w:pBdr>
        <w:top w:val="single" w:sz="4" w:space="1" w:color="auto"/>
        <w:bottom w:val="single" w:sz="4" w:space="1" w:color="auto"/>
      </w:pBdr>
      <w:tabs>
        <w:tab w:val="center" w:pos="5400"/>
        <w:tab w:val="right" w:pos="10800"/>
      </w:tabs>
      <w:ind w:firstLine="0"/>
      <w:rPr>
        <w:rFonts w:ascii="Avignon Pro" w:hAnsi="Avignon Pro"/>
      </w:rPr>
    </w:pPr>
    <w:r>
      <w:rPr>
        <w:rFonts w:ascii="Avignon Pro" w:hAnsi="Avignon Pro"/>
      </w:rPr>
      <w:t>VOLUME XII  •  NUMBER 11</w:t>
    </w:r>
    <w:r>
      <w:rPr>
        <w:rFonts w:ascii="Avignon Pro" w:hAnsi="Avignon Pro"/>
      </w:rPr>
      <w:tab/>
      <w:t xml:space="preserve">Page </w:t>
    </w:r>
    <w:r w:rsidRPr="00D53E94">
      <w:rPr>
        <w:rFonts w:ascii="Avignon Pro" w:hAnsi="Avignon Pro"/>
      </w:rPr>
      <w:fldChar w:fldCharType="begin"/>
    </w:r>
    <w:r w:rsidRPr="00D53E94">
      <w:rPr>
        <w:rFonts w:ascii="Avignon Pro" w:hAnsi="Avignon Pro"/>
      </w:rPr>
      <w:instrText xml:space="preserve"> PAGE   \* MERGEFORMAT </w:instrText>
    </w:r>
    <w:r w:rsidRPr="00D53E94">
      <w:rPr>
        <w:rFonts w:ascii="Avignon Pro" w:hAnsi="Avignon Pro"/>
      </w:rPr>
      <w:fldChar w:fldCharType="separate"/>
    </w:r>
    <w:r>
      <w:rPr>
        <w:rFonts w:ascii="Avignon Pro" w:hAnsi="Avignon Pro"/>
      </w:rPr>
      <w:t>1</w:t>
    </w:r>
    <w:r w:rsidRPr="00D53E94">
      <w:rPr>
        <w:rFonts w:ascii="Avignon Pro" w:hAnsi="Avignon Pro"/>
        <w:noProof/>
      </w:rPr>
      <w:fldChar w:fldCharType="end"/>
    </w:r>
    <w:r>
      <w:rPr>
        <w:rFonts w:ascii="Avignon Pro" w:hAnsi="Avignon Pro"/>
      </w:rPr>
      <w:tab/>
      <w:t>NOVEMBER 2025</w:t>
    </w:r>
  </w:p>
  <w:p w14:paraId="582E3E82" w14:textId="77777777" w:rsidR="00703DC5" w:rsidRDefault="00703D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75822" w14:textId="77777777" w:rsidR="00703DC5" w:rsidRPr="001F63AF" w:rsidRDefault="00703DC5" w:rsidP="00703DC5">
    <w:pPr>
      <w:pStyle w:val="Header"/>
      <w:ind w:firstLine="0"/>
      <w:jc w:val="center"/>
      <w:rPr>
        <w:rFonts w:ascii="Old English Text MT" w:hAnsi="Old English Text MT" w:cs="GothicE"/>
        <w:sz w:val="72"/>
        <w:szCs w:val="72"/>
      </w:rPr>
    </w:pPr>
    <w:r w:rsidRPr="001F63AF">
      <w:rPr>
        <w:rFonts w:ascii="Old English Text MT" w:hAnsi="Old English Text MT" w:cs="GothicE"/>
        <w:sz w:val="72"/>
        <w:szCs w:val="72"/>
      </w:rPr>
      <w:t>Connecticut Code Chronicle</w:t>
    </w:r>
  </w:p>
  <w:p w14:paraId="463D0CF5" w14:textId="1CEDE3E6" w:rsidR="00703DC5" w:rsidRDefault="00703DC5" w:rsidP="00703DC5">
    <w:pPr>
      <w:pBdr>
        <w:top w:val="single" w:sz="4" w:space="1" w:color="auto"/>
        <w:bottom w:val="single" w:sz="4" w:space="1" w:color="auto"/>
      </w:pBdr>
      <w:tabs>
        <w:tab w:val="center" w:pos="5400"/>
        <w:tab w:val="right" w:pos="10800"/>
      </w:tabs>
      <w:ind w:firstLine="0"/>
      <w:rPr>
        <w:rFonts w:ascii="Avignon Pro" w:hAnsi="Avignon Pro"/>
      </w:rPr>
    </w:pPr>
    <w:r>
      <w:rPr>
        <w:rFonts w:ascii="Avignon Pro" w:hAnsi="Avignon Pro"/>
      </w:rPr>
      <w:t>VOLUME XII</w:t>
    </w:r>
    <w:r w:rsidR="00B62D7B">
      <w:rPr>
        <w:rFonts w:ascii="Avignon Pro" w:hAnsi="Avignon Pro"/>
      </w:rPr>
      <w:t>I</w:t>
    </w:r>
    <w:r>
      <w:rPr>
        <w:rFonts w:ascii="Avignon Pro" w:hAnsi="Avignon Pro"/>
      </w:rPr>
      <w:t xml:space="preserve">  •  NUMBER </w:t>
    </w:r>
    <w:r w:rsidR="005D04CF">
      <w:rPr>
        <w:rFonts w:ascii="Avignon Pro" w:hAnsi="Avignon Pro"/>
      </w:rPr>
      <w:t>8</w:t>
    </w:r>
    <w:r>
      <w:rPr>
        <w:rFonts w:ascii="Avignon Pro" w:hAnsi="Avignon Pro"/>
      </w:rPr>
      <w:tab/>
      <w:t xml:space="preserve">Page </w:t>
    </w:r>
    <w:r w:rsidRPr="00D53E94">
      <w:rPr>
        <w:rFonts w:ascii="Avignon Pro" w:hAnsi="Avignon Pro"/>
      </w:rPr>
      <w:fldChar w:fldCharType="begin"/>
    </w:r>
    <w:r w:rsidRPr="00D53E94">
      <w:rPr>
        <w:rFonts w:ascii="Avignon Pro" w:hAnsi="Avignon Pro"/>
      </w:rPr>
      <w:instrText xml:space="preserve"> PAGE   \* MERGEFORMAT </w:instrText>
    </w:r>
    <w:r w:rsidRPr="00D53E94">
      <w:rPr>
        <w:rFonts w:ascii="Avignon Pro" w:hAnsi="Avignon Pro"/>
      </w:rPr>
      <w:fldChar w:fldCharType="separate"/>
    </w:r>
    <w:r>
      <w:rPr>
        <w:rFonts w:ascii="Avignon Pro" w:hAnsi="Avignon Pro"/>
      </w:rPr>
      <w:t>1</w:t>
    </w:r>
    <w:r w:rsidRPr="00D53E94">
      <w:rPr>
        <w:rFonts w:ascii="Avignon Pro" w:hAnsi="Avignon Pro"/>
        <w:noProof/>
      </w:rPr>
      <w:fldChar w:fldCharType="end"/>
    </w:r>
    <w:r>
      <w:rPr>
        <w:rFonts w:ascii="Avignon Pro" w:hAnsi="Avignon Pro"/>
      </w:rPr>
      <w:tab/>
    </w:r>
    <w:r w:rsidR="005D04CF">
      <w:rPr>
        <w:rFonts w:ascii="Avignon Pro" w:hAnsi="Avignon Pro"/>
      </w:rPr>
      <w:t>AUGUST</w:t>
    </w:r>
    <w:r>
      <w:rPr>
        <w:rFonts w:ascii="Avignon Pro" w:hAnsi="Avignon Pro"/>
      </w:rPr>
      <w:t xml:space="preserve"> 202</w:t>
    </w:r>
    <w:r w:rsidR="00B62D7B">
      <w:rPr>
        <w:rFonts w:ascii="Avignon Pro" w:hAnsi="Avignon Pro"/>
      </w:rPr>
      <w:t>6</w:t>
    </w:r>
  </w:p>
  <w:p w14:paraId="2F26EF77" w14:textId="77777777" w:rsidR="00703DC5" w:rsidRDefault="00703D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A6589" w14:textId="77777777" w:rsidR="00E40452" w:rsidRPr="001F63AF" w:rsidRDefault="00E40452" w:rsidP="00E40452">
    <w:pPr>
      <w:pStyle w:val="Header"/>
      <w:ind w:firstLine="0"/>
      <w:jc w:val="center"/>
      <w:rPr>
        <w:rFonts w:ascii="Old English Text MT" w:hAnsi="Old English Text MT" w:cs="GothicE"/>
        <w:sz w:val="72"/>
        <w:szCs w:val="72"/>
      </w:rPr>
    </w:pPr>
    <w:r w:rsidRPr="001F63AF">
      <w:rPr>
        <w:rFonts w:ascii="Old English Text MT" w:hAnsi="Old English Text MT" w:cs="GothicE"/>
        <w:sz w:val="72"/>
        <w:szCs w:val="72"/>
      </w:rPr>
      <w:t>Connecticut Code Chronicle</w:t>
    </w:r>
  </w:p>
  <w:p w14:paraId="4506044C" w14:textId="32ABBE1E" w:rsidR="00E40452" w:rsidRDefault="00E40452" w:rsidP="00E40452">
    <w:pPr>
      <w:pBdr>
        <w:top w:val="single" w:sz="4" w:space="1" w:color="auto"/>
        <w:bottom w:val="single" w:sz="4" w:space="1" w:color="auto"/>
      </w:pBdr>
      <w:tabs>
        <w:tab w:val="center" w:pos="5400"/>
        <w:tab w:val="right" w:pos="10800"/>
      </w:tabs>
      <w:ind w:firstLine="0"/>
      <w:rPr>
        <w:rFonts w:ascii="Avignon Pro" w:hAnsi="Avignon Pro"/>
      </w:rPr>
    </w:pPr>
    <w:r>
      <w:rPr>
        <w:rFonts w:ascii="Avignon Pro" w:hAnsi="Avignon Pro"/>
      </w:rPr>
      <w:t xml:space="preserve">VOLUME XIII  •  NUMBER </w:t>
    </w:r>
    <w:r w:rsidR="005D1344">
      <w:rPr>
        <w:rFonts w:ascii="Avignon Pro" w:hAnsi="Avignon Pro"/>
      </w:rPr>
      <w:t>8</w:t>
    </w:r>
    <w:r>
      <w:rPr>
        <w:rFonts w:ascii="Avignon Pro" w:hAnsi="Avignon Pro"/>
      </w:rPr>
      <w:tab/>
      <w:t xml:space="preserve">Page </w:t>
    </w:r>
    <w:r w:rsidRPr="00D53E94">
      <w:rPr>
        <w:rFonts w:ascii="Avignon Pro" w:hAnsi="Avignon Pro"/>
      </w:rPr>
      <w:fldChar w:fldCharType="begin"/>
    </w:r>
    <w:r w:rsidRPr="00D53E94">
      <w:rPr>
        <w:rFonts w:ascii="Avignon Pro" w:hAnsi="Avignon Pro"/>
      </w:rPr>
      <w:instrText xml:space="preserve"> PAGE   \* MERGEFORMAT </w:instrText>
    </w:r>
    <w:r w:rsidRPr="00D53E94">
      <w:rPr>
        <w:rFonts w:ascii="Avignon Pro" w:hAnsi="Avignon Pro"/>
      </w:rPr>
      <w:fldChar w:fldCharType="separate"/>
    </w:r>
    <w:r>
      <w:rPr>
        <w:rFonts w:ascii="Avignon Pro" w:hAnsi="Avignon Pro"/>
      </w:rPr>
      <w:t>3</w:t>
    </w:r>
    <w:r w:rsidRPr="00D53E94">
      <w:rPr>
        <w:rFonts w:ascii="Avignon Pro" w:hAnsi="Avignon Pro"/>
        <w:noProof/>
      </w:rPr>
      <w:fldChar w:fldCharType="end"/>
    </w:r>
    <w:r>
      <w:rPr>
        <w:rFonts w:ascii="Avignon Pro" w:hAnsi="Avignon Pro"/>
      </w:rPr>
      <w:tab/>
    </w:r>
    <w:r w:rsidR="005D1344">
      <w:rPr>
        <w:rFonts w:ascii="Avignon Pro" w:hAnsi="Avignon Pro"/>
      </w:rPr>
      <w:t>AUGUST</w:t>
    </w:r>
    <w:r>
      <w:rPr>
        <w:rFonts w:ascii="Avignon Pro" w:hAnsi="Avignon Pro"/>
      </w:rPr>
      <w:t xml:space="preserve"> 2026</w:t>
    </w:r>
  </w:p>
  <w:p w14:paraId="69164037" w14:textId="77777777" w:rsidR="00E40452" w:rsidRDefault="00E40452" w:rsidP="00E40452">
    <w:pPr>
      <w:pStyle w:val="Header"/>
      <w:ind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7C4BF" w14:textId="77777777" w:rsidR="00E40452" w:rsidRPr="001F63AF" w:rsidRDefault="00E40452" w:rsidP="00703DC5">
    <w:pPr>
      <w:pStyle w:val="Header"/>
      <w:ind w:firstLine="0"/>
      <w:jc w:val="center"/>
      <w:rPr>
        <w:rFonts w:ascii="Old English Text MT" w:hAnsi="Old English Text MT" w:cs="GothicE"/>
        <w:sz w:val="72"/>
        <w:szCs w:val="72"/>
      </w:rPr>
    </w:pPr>
    <w:r w:rsidRPr="001F63AF">
      <w:rPr>
        <w:rFonts w:ascii="Old English Text MT" w:hAnsi="Old English Text MT" w:cs="GothicE"/>
        <w:sz w:val="72"/>
        <w:szCs w:val="72"/>
      </w:rPr>
      <w:t>Connecticut Code Chronicle</w:t>
    </w:r>
  </w:p>
  <w:p w14:paraId="79E3A3EE" w14:textId="48F57CBA" w:rsidR="00E40452" w:rsidRDefault="00E40452" w:rsidP="00703DC5">
    <w:pPr>
      <w:pBdr>
        <w:top w:val="single" w:sz="4" w:space="1" w:color="auto"/>
        <w:bottom w:val="single" w:sz="4" w:space="1" w:color="auto"/>
      </w:pBdr>
      <w:tabs>
        <w:tab w:val="center" w:pos="5400"/>
        <w:tab w:val="right" w:pos="10800"/>
      </w:tabs>
      <w:ind w:firstLine="0"/>
      <w:rPr>
        <w:rFonts w:ascii="Avignon Pro" w:hAnsi="Avignon Pro"/>
      </w:rPr>
    </w:pPr>
    <w:r>
      <w:rPr>
        <w:rFonts w:ascii="Avignon Pro" w:hAnsi="Avignon Pro"/>
      </w:rPr>
      <w:t xml:space="preserve">VOLUME XIII  •  NUMBER </w:t>
    </w:r>
    <w:r w:rsidR="0068775B">
      <w:rPr>
        <w:rFonts w:ascii="Avignon Pro" w:hAnsi="Avignon Pro"/>
      </w:rPr>
      <w:t>8</w:t>
    </w:r>
    <w:r>
      <w:rPr>
        <w:rFonts w:ascii="Avignon Pro" w:hAnsi="Avignon Pro"/>
      </w:rPr>
      <w:tab/>
      <w:t xml:space="preserve">Page </w:t>
    </w:r>
    <w:r w:rsidRPr="00D53E94">
      <w:rPr>
        <w:rFonts w:ascii="Avignon Pro" w:hAnsi="Avignon Pro"/>
      </w:rPr>
      <w:fldChar w:fldCharType="begin"/>
    </w:r>
    <w:r w:rsidRPr="00D53E94">
      <w:rPr>
        <w:rFonts w:ascii="Avignon Pro" w:hAnsi="Avignon Pro"/>
      </w:rPr>
      <w:instrText xml:space="preserve"> PAGE   \* MERGEFORMAT </w:instrText>
    </w:r>
    <w:r w:rsidRPr="00D53E94">
      <w:rPr>
        <w:rFonts w:ascii="Avignon Pro" w:hAnsi="Avignon Pro"/>
      </w:rPr>
      <w:fldChar w:fldCharType="separate"/>
    </w:r>
    <w:r>
      <w:rPr>
        <w:rFonts w:ascii="Avignon Pro" w:hAnsi="Avignon Pro"/>
      </w:rPr>
      <w:t>1</w:t>
    </w:r>
    <w:r w:rsidRPr="00D53E94">
      <w:rPr>
        <w:rFonts w:ascii="Avignon Pro" w:hAnsi="Avignon Pro"/>
        <w:noProof/>
      </w:rPr>
      <w:fldChar w:fldCharType="end"/>
    </w:r>
    <w:r>
      <w:rPr>
        <w:rFonts w:ascii="Avignon Pro" w:hAnsi="Avignon Pro"/>
      </w:rPr>
      <w:tab/>
    </w:r>
    <w:r w:rsidR="0068775B">
      <w:rPr>
        <w:rFonts w:ascii="Avignon Pro" w:hAnsi="Avignon Pro"/>
      </w:rPr>
      <w:t>AUGUST</w:t>
    </w:r>
    <w:r>
      <w:rPr>
        <w:rFonts w:ascii="Avignon Pro" w:hAnsi="Avignon Pro"/>
      </w:rPr>
      <w:t xml:space="preserve"> 2026</w:t>
    </w:r>
  </w:p>
  <w:p w14:paraId="2D14EBC8" w14:textId="77777777" w:rsidR="00E40452" w:rsidRDefault="00E4045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28590" w14:textId="77777777" w:rsidR="002343F8" w:rsidRPr="001F63AF" w:rsidRDefault="002343F8" w:rsidP="001F63AF">
    <w:pPr>
      <w:pStyle w:val="Header"/>
      <w:ind w:firstLine="0"/>
      <w:jc w:val="center"/>
      <w:rPr>
        <w:rFonts w:ascii="Old English Text MT" w:hAnsi="Old English Text MT" w:cs="GothicE"/>
        <w:sz w:val="72"/>
        <w:szCs w:val="72"/>
      </w:rPr>
    </w:pPr>
    <w:r w:rsidRPr="001F63AF">
      <w:rPr>
        <w:rFonts w:ascii="Old English Text MT" w:hAnsi="Old English Text MT" w:cs="GothicE"/>
        <w:sz w:val="72"/>
        <w:szCs w:val="72"/>
      </w:rPr>
      <w:t>Connecticut Code Chronicle</w:t>
    </w:r>
  </w:p>
  <w:p w14:paraId="67CF7DAB" w14:textId="42599DB7" w:rsidR="002343F8" w:rsidRPr="001F63AF" w:rsidRDefault="002343F8" w:rsidP="002343F8">
    <w:pPr>
      <w:pBdr>
        <w:top w:val="single" w:sz="4" w:space="1" w:color="auto"/>
        <w:bottom w:val="single" w:sz="4" w:space="1" w:color="auto"/>
      </w:pBdr>
      <w:tabs>
        <w:tab w:val="center" w:pos="5400"/>
        <w:tab w:val="right" w:pos="10800"/>
      </w:tabs>
      <w:ind w:firstLine="0"/>
      <w:rPr>
        <w:rFonts w:ascii="Avignon Pro" w:hAnsi="Avignon Pro"/>
      </w:rPr>
    </w:pPr>
    <w:r>
      <w:rPr>
        <w:rFonts w:ascii="Avignon Pro" w:hAnsi="Avignon Pro"/>
      </w:rPr>
      <w:t xml:space="preserve">VOLUME XII  •  NUMBER </w:t>
    </w:r>
    <w:r w:rsidR="00673F2A">
      <w:rPr>
        <w:rFonts w:ascii="Avignon Pro" w:hAnsi="Avignon Pro"/>
      </w:rPr>
      <w:t>7</w:t>
    </w:r>
    <w:r>
      <w:rPr>
        <w:rFonts w:ascii="Avignon Pro" w:hAnsi="Avignon Pro"/>
      </w:rPr>
      <w:tab/>
      <w:t xml:space="preserve">Page </w:t>
    </w:r>
    <w:r w:rsidRPr="00D53E94">
      <w:rPr>
        <w:rFonts w:ascii="Avignon Pro" w:hAnsi="Avignon Pro"/>
      </w:rPr>
      <w:fldChar w:fldCharType="begin"/>
    </w:r>
    <w:r w:rsidRPr="00D53E94">
      <w:rPr>
        <w:rFonts w:ascii="Avignon Pro" w:hAnsi="Avignon Pro"/>
      </w:rPr>
      <w:instrText xml:space="preserve"> PAGE   \* MERGEFORMAT </w:instrText>
    </w:r>
    <w:r w:rsidRPr="00D53E94">
      <w:rPr>
        <w:rFonts w:ascii="Avignon Pro" w:hAnsi="Avignon Pro"/>
      </w:rPr>
      <w:fldChar w:fldCharType="separate"/>
    </w:r>
    <w:r>
      <w:rPr>
        <w:rFonts w:ascii="Avignon Pro" w:hAnsi="Avignon Pro"/>
      </w:rPr>
      <w:t>3</w:t>
    </w:r>
    <w:r w:rsidRPr="00D53E94">
      <w:rPr>
        <w:rFonts w:ascii="Avignon Pro" w:hAnsi="Avignon Pro"/>
        <w:noProof/>
      </w:rPr>
      <w:fldChar w:fldCharType="end"/>
    </w:r>
    <w:r>
      <w:rPr>
        <w:rFonts w:ascii="Avignon Pro" w:hAnsi="Avignon Pro"/>
      </w:rPr>
      <w:tab/>
    </w:r>
    <w:r w:rsidR="00673F2A">
      <w:rPr>
        <w:rFonts w:ascii="Avignon Pro" w:hAnsi="Avignon Pro"/>
      </w:rPr>
      <w:t>AUGUST</w:t>
    </w:r>
    <w:r>
      <w:rPr>
        <w:rFonts w:ascii="Avignon Pro" w:hAnsi="Avignon Pro"/>
      </w:rPr>
      <w:t xml:space="preserve"> 2025</w:t>
    </w:r>
  </w:p>
  <w:p w14:paraId="1E14E7D5" w14:textId="77777777" w:rsidR="002343F8" w:rsidRPr="001F63AF" w:rsidRDefault="002343F8" w:rsidP="001F63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376BA"/>
    <w:multiLevelType w:val="multilevel"/>
    <w:tmpl w:val="EF9A99F4"/>
    <w:styleLink w:val="CurrentList2"/>
    <w:lvl w:ilvl="0">
      <w:numFmt w:val="bullet"/>
      <w:lvlText w:val="•"/>
      <w:lvlJc w:val="left"/>
      <w:pPr>
        <w:ind w:left="648" w:hanging="360"/>
      </w:pPr>
      <w:rPr>
        <w:rFonts w:ascii="Times New Roman" w:eastAsiaTheme="majorEastAsia" w:hAnsi="Times New Roman" w:cs="Times New Roman" w:hint="default"/>
      </w:rPr>
    </w:lvl>
    <w:lvl w:ilvl="1">
      <w:start w:val="1"/>
      <w:numFmt w:val="bullet"/>
      <w:lvlText w:val="o"/>
      <w:lvlJc w:val="left"/>
      <w:pPr>
        <w:ind w:left="1368" w:hanging="360"/>
      </w:pPr>
      <w:rPr>
        <w:rFonts w:ascii="Courier New" w:hAnsi="Courier New" w:cs="Courier New" w:hint="default"/>
      </w:rPr>
    </w:lvl>
    <w:lvl w:ilvl="2">
      <w:start w:val="1"/>
      <w:numFmt w:val="bullet"/>
      <w:lvlText w:val=""/>
      <w:lvlJc w:val="left"/>
      <w:pPr>
        <w:ind w:left="2088" w:hanging="360"/>
      </w:pPr>
      <w:rPr>
        <w:rFonts w:ascii="Wingdings" w:hAnsi="Wingdings" w:hint="default"/>
      </w:rPr>
    </w:lvl>
    <w:lvl w:ilvl="3">
      <w:start w:val="1"/>
      <w:numFmt w:val="bullet"/>
      <w:lvlText w:val=""/>
      <w:lvlJc w:val="left"/>
      <w:pPr>
        <w:ind w:left="2808" w:hanging="360"/>
      </w:pPr>
      <w:rPr>
        <w:rFonts w:ascii="Symbol" w:hAnsi="Symbol" w:hint="default"/>
      </w:rPr>
    </w:lvl>
    <w:lvl w:ilvl="4">
      <w:start w:val="1"/>
      <w:numFmt w:val="bullet"/>
      <w:lvlText w:val="o"/>
      <w:lvlJc w:val="left"/>
      <w:pPr>
        <w:ind w:left="3528" w:hanging="360"/>
      </w:pPr>
      <w:rPr>
        <w:rFonts w:ascii="Courier New" w:hAnsi="Courier New" w:cs="Courier New" w:hint="default"/>
      </w:rPr>
    </w:lvl>
    <w:lvl w:ilvl="5">
      <w:start w:val="1"/>
      <w:numFmt w:val="bullet"/>
      <w:lvlText w:val=""/>
      <w:lvlJc w:val="left"/>
      <w:pPr>
        <w:ind w:left="4248" w:hanging="360"/>
      </w:pPr>
      <w:rPr>
        <w:rFonts w:ascii="Wingdings" w:hAnsi="Wingdings" w:hint="default"/>
      </w:rPr>
    </w:lvl>
    <w:lvl w:ilvl="6">
      <w:start w:val="1"/>
      <w:numFmt w:val="bullet"/>
      <w:lvlText w:val=""/>
      <w:lvlJc w:val="left"/>
      <w:pPr>
        <w:ind w:left="4968" w:hanging="360"/>
      </w:pPr>
      <w:rPr>
        <w:rFonts w:ascii="Symbol" w:hAnsi="Symbol" w:hint="default"/>
      </w:rPr>
    </w:lvl>
    <w:lvl w:ilvl="7">
      <w:start w:val="1"/>
      <w:numFmt w:val="bullet"/>
      <w:lvlText w:val="o"/>
      <w:lvlJc w:val="left"/>
      <w:pPr>
        <w:ind w:left="5688" w:hanging="360"/>
      </w:pPr>
      <w:rPr>
        <w:rFonts w:ascii="Courier New" w:hAnsi="Courier New" w:cs="Courier New" w:hint="default"/>
      </w:rPr>
    </w:lvl>
    <w:lvl w:ilvl="8">
      <w:start w:val="1"/>
      <w:numFmt w:val="bullet"/>
      <w:lvlText w:val=""/>
      <w:lvlJc w:val="left"/>
      <w:pPr>
        <w:ind w:left="6408" w:hanging="360"/>
      </w:pPr>
      <w:rPr>
        <w:rFonts w:ascii="Wingdings" w:hAnsi="Wingdings" w:hint="default"/>
      </w:rPr>
    </w:lvl>
  </w:abstractNum>
  <w:abstractNum w:abstractNumId="1" w15:restartNumberingAfterBreak="0">
    <w:nsid w:val="03C30C01"/>
    <w:multiLevelType w:val="hybridMultilevel"/>
    <w:tmpl w:val="EF9A99F4"/>
    <w:lvl w:ilvl="0" w:tplc="636A5F92">
      <w:numFmt w:val="bullet"/>
      <w:lvlText w:val="•"/>
      <w:lvlJc w:val="left"/>
      <w:pPr>
        <w:ind w:left="648" w:hanging="360"/>
      </w:pPr>
      <w:rPr>
        <w:rFonts w:ascii="Times New Roman" w:eastAsiaTheme="majorEastAsia" w:hAnsi="Times New Roman" w:cs="Times New Roman"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2" w15:restartNumberingAfterBreak="0">
    <w:nsid w:val="08055851"/>
    <w:multiLevelType w:val="hybridMultilevel"/>
    <w:tmpl w:val="E962D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6F58AA"/>
    <w:multiLevelType w:val="hybridMultilevel"/>
    <w:tmpl w:val="34ECB9BE"/>
    <w:lvl w:ilvl="0" w:tplc="BFAA6626">
      <w:start w:val="1"/>
      <w:numFmt w:val="upperLetter"/>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4" w15:restartNumberingAfterBreak="0">
    <w:nsid w:val="171A766C"/>
    <w:multiLevelType w:val="hybridMultilevel"/>
    <w:tmpl w:val="C53071A6"/>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5" w15:restartNumberingAfterBreak="0">
    <w:nsid w:val="1A946892"/>
    <w:multiLevelType w:val="hybridMultilevel"/>
    <w:tmpl w:val="D44E4318"/>
    <w:lvl w:ilvl="0" w:tplc="04090001">
      <w:start w:val="1"/>
      <w:numFmt w:val="bullet"/>
      <w:lvlText w:val=""/>
      <w:lvlJc w:val="left"/>
      <w:pPr>
        <w:ind w:left="648" w:hanging="360"/>
      </w:pPr>
      <w:rPr>
        <w:rFonts w:ascii="Symbol" w:hAnsi="Symbol" w:hint="default"/>
      </w:rPr>
    </w:lvl>
    <w:lvl w:ilvl="1" w:tplc="FFFFFFFF" w:tentative="1">
      <w:start w:val="1"/>
      <w:numFmt w:val="bullet"/>
      <w:lvlText w:val="o"/>
      <w:lvlJc w:val="left"/>
      <w:pPr>
        <w:ind w:left="1368" w:hanging="360"/>
      </w:pPr>
      <w:rPr>
        <w:rFonts w:ascii="Courier New" w:hAnsi="Courier New" w:cs="Courier New" w:hint="default"/>
      </w:rPr>
    </w:lvl>
    <w:lvl w:ilvl="2" w:tplc="FFFFFFFF" w:tentative="1">
      <w:start w:val="1"/>
      <w:numFmt w:val="bullet"/>
      <w:lvlText w:val=""/>
      <w:lvlJc w:val="left"/>
      <w:pPr>
        <w:ind w:left="2088" w:hanging="360"/>
      </w:pPr>
      <w:rPr>
        <w:rFonts w:ascii="Wingdings" w:hAnsi="Wingdings" w:hint="default"/>
      </w:rPr>
    </w:lvl>
    <w:lvl w:ilvl="3" w:tplc="FFFFFFFF" w:tentative="1">
      <w:start w:val="1"/>
      <w:numFmt w:val="bullet"/>
      <w:lvlText w:val=""/>
      <w:lvlJc w:val="left"/>
      <w:pPr>
        <w:ind w:left="2808" w:hanging="360"/>
      </w:pPr>
      <w:rPr>
        <w:rFonts w:ascii="Symbol" w:hAnsi="Symbol" w:hint="default"/>
      </w:rPr>
    </w:lvl>
    <w:lvl w:ilvl="4" w:tplc="FFFFFFFF" w:tentative="1">
      <w:start w:val="1"/>
      <w:numFmt w:val="bullet"/>
      <w:lvlText w:val="o"/>
      <w:lvlJc w:val="left"/>
      <w:pPr>
        <w:ind w:left="3528" w:hanging="360"/>
      </w:pPr>
      <w:rPr>
        <w:rFonts w:ascii="Courier New" w:hAnsi="Courier New" w:cs="Courier New" w:hint="default"/>
      </w:rPr>
    </w:lvl>
    <w:lvl w:ilvl="5" w:tplc="FFFFFFFF" w:tentative="1">
      <w:start w:val="1"/>
      <w:numFmt w:val="bullet"/>
      <w:lvlText w:val=""/>
      <w:lvlJc w:val="left"/>
      <w:pPr>
        <w:ind w:left="4248" w:hanging="360"/>
      </w:pPr>
      <w:rPr>
        <w:rFonts w:ascii="Wingdings" w:hAnsi="Wingdings" w:hint="default"/>
      </w:rPr>
    </w:lvl>
    <w:lvl w:ilvl="6" w:tplc="FFFFFFFF" w:tentative="1">
      <w:start w:val="1"/>
      <w:numFmt w:val="bullet"/>
      <w:lvlText w:val=""/>
      <w:lvlJc w:val="left"/>
      <w:pPr>
        <w:ind w:left="4968" w:hanging="360"/>
      </w:pPr>
      <w:rPr>
        <w:rFonts w:ascii="Symbol" w:hAnsi="Symbol" w:hint="default"/>
      </w:rPr>
    </w:lvl>
    <w:lvl w:ilvl="7" w:tplc="FFFFFFFF" w:tentative="1">
      <w:start w:val="1"/>
      <w:numFmt w:val="bullet"/>
      <w:lvlText w:val="o"/>
      <w:lvlJc w:val="left"/>
      <w:pPr>
        <w:ind w:left="5688" w:hanging="360"/>
      </w:pPr>
      <w:rPr>
        <w:rFonts w:ascii="Courier New" w:hAnsi="Courier New" w:cs="Courier New" w:hint="default"/>
      </w:rPr>
    </w:lvl>
    <w:lvl w:ilvl="8" w:tplc="FFFFFFFF" w:tentative="1">
      <w:start w:val="1"/>
      <w:numFmt w:val="bullet"/>
      <w:lvlText w:val=""/>
      <w:lvlJc w:val="left"/>
      <w:pPr>
        <w:ind w:left="6408" w:hanging="360"/>
      </w:pPr>
      <w:rPr>
        <w:rFonts w:ascii="Wingdings" w:hAnsi="Wingdings" w:hint="default"/>
      </w:rPr>
    </w:lvl>
  </w:abstractNum>
  <w:abstractNum w:abstractNumId="6" w15:restartNumberingAfterBreak="0">
    <w:nsid w:val="219D3B65"/>
    <w:multiLevelType w:val="hybridMultilevel"/>
    <w:tmpl w:val="A134C7BE"/>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7" w15:restartNumberingAfterBreak="0">
    <w:nsid w:val="28F91ED6"/>
    <w:multiLevelType w:val="hybridMultilevel"/>
    <w:tmpl w:val="491AB962"/>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8" w15:restartNumberingAfterBreak="0">
    <w:nsid w:val="3027762E"/>
    <w:multiLevelType w:val="hybridMultilevel"/>
    <w:tmpl w:val="146AA042"/>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9" w15:restartNumberingAfterBreak="0">
    <w:nsid w:val="30FD23D5"/>
    <w:multiLevelType w:val="hybridMultilevel"/>
    <w:tmpl w:val="C04A69AA"/>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0" w15:restartNumberingAfterBreak="0">
    <w:nsid w:val="38861A40"/>
    <w:multiLevelType w:val="hybridMultilevel"/>
    <w:tmpl w:val="7AC670AA"/>
    <w:lvl w:ilvl="0" w:tplc="636A5F92">
      <w:numFmt w:val="bullet"/>
      <w:lvlText w:val="•"/>
      <w:lvlJc w:val="left"/>
      <w:pPr>
        <w:ind w:left="648"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0BA529C"/>
    <w:multiLevelType w:val="hybridMultilevel"/>
    <w:tmpl w:val="F5EC11E8"/>
    <w:lvl w:ilvl="0" w:tplc="0409000F">
      <w:start w:val="1"/>
      <w:numFmt w:val="decimal"/>
      <w:lvlText w:val="%1."/>
      <w:lvlJc w:val="left"/>
      <w:pPr>
        <w:ind w:left="1296"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2" w15:restartNumberingAfterBreak="0">
    <w:nsid w:val="4EBC560A"/>
    <w:multiLevelType w:val="hybridMultilevel"/>
    <w:tmpl w:val="EA7C29D0"/>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3" w15:restartNumberingAfterBreak="0">
    <w:nsid w:val="51267207"/>
    <w:multiLevelType w:val="hybridMultilevel"/>
    <w:tmpl w:val="79E60A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D2794D"/>
    <w:multiLevelType w:val="hybridMultilevel"/>
    <w:tmpl w:val="9DF09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4F844DF"/>
    <w:multiLevelType w:val="hybridMultilevel"/>
    <w:tmpl w:val="C1BCE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3F0AA7"/>
    <w:multiLevelType w:val="hybridMultilevel"/>
    <w:tmpl w:val="962CB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5B7AF8"/>
    <w:multiLevelType w:val="hybridMultilevel"/>
    <w:tmpl w:val="AB50A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D093912"/>
    <w:multiLevelType w:val="hybridMultilevel"/>
    <w:tmpl w:val="6CB835C4"/>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9" w15:restartNumberingAfterBreak="0">
    <w:nsid w:val="78D56164"/>
    <w:multiLevelType w:val="multilevel"/>
    <w:tmpl w:val="EF9A99F4"/>
    <w:styleLink w:val="CurrentList1"/>
    <w:lvl w:ilvl="0">
      <w:numFmt w:val="bullet"/>
      <w:lvlText w:val="•"/>
      <w:lvlJc w:val="left"/>
      <w:pPr>
        <w:ind w:left="648" w:hanging="360"/>
      </w:pPr>
      <w:rPr>
        <w:rFonts w:ascii="Times New Roman" w:eastAsiaTheme="majorEastAsia" w:hAnsi="Times New Roman" w:cs="Times New Roman" w:hint="default"/>
      </w:rPr>
    </w:lvl>
    <w:lvl w:ilvl="1">
      <w:start w:val="1"/>
      <w:numFmt w:val="bullet"/>
      <w:lvlText w:val="o"/>
      <w:lvlJc w:val="left"/>
      <w:pPr>
        <w:ind w:left="1368" w:hanging="360"/>
      </w:pPr>
      <w:rPr>
        <w:rFonts w:ascii="Courier New" w:hAnsi="Courier New" w:cs="Courier New" w:hint="default"/>
      </w:rPr>
    </w:lvl>
    <w:lvl w:ilvl="2">
      <w:start w:val="1"/>
      <w:numFmt w:val="bullet"/>
      <w:lvlText w:val=""/>
      <w:lvlJc w:val="left"/>
      <w:pPr>
        <w:ind w:left="2088" w:hanging="360"/>
      </w:pPr>
      <w:rPr>
        <w:rFonts w:ascii="Wingdings" w:hAnsi="Wingdings" w:hint="default"/>
      </w:rPr>
    </w:lvl>
    <w:lvl w:ilvl="3">
      <w:start w:val="1"/>
      <w:numFmt w:val="bullet"/>
      <w:lvlText w:val=""/>
      <w:lvlJc w:val="left"/>
      <w:pPr>
        <w:ind w:left="2808" w:hanging="360"/>
      </w:pPr>
      <w:rPr>
        <w:rFonts w:ascii="Symbol" w:hAnsi="Symbol" w:hint="default"/>
      </w:rPr>
    </w:lvl>
    <w:lvl w:ilvl="4">
      <w:start w:val="1"/>
      <w:numFmt w:val="bullet"/>
      <w:lvlText w:val="o"/>
      <w:lvlJc w:val="left"/>
      <w:pPr>
        <w:ind w:left="3528" w:hanging="360"/>
      </w:pPr>
      <w:rPr>
        <w:rFonts w:ascii="Courier New" w:hAnsi="Courier New" w:cs="Courier New" w:hint="default"/>
      </w:rPr>
    </w:lvl>
    <w:lvl w:ilvl="5">
      <w:start w:val="1"/>
      <w:numFmt w:val="bullet"/>
      <w:lvlText w:val=""/>
      <w:lvlJc w:val="left"/>
      <w:pPr>
        <w:ind w:left="4248" w:hanging="360"/>
      </w:pPr>
      <w:rPr>
        <w:rFonts w:ascii="Wingdings" w:hAnsi="Wingdings" w:hint="default"/>
      </w:rPr>
    </w:lvl>
    <w:lvl w:ilvl="6">
      <w:start w:val="1"/>
      <w:numFmt w:val="bullet"/>
      <w:lvlText w:val=""/>
      <w:lvlJc w:val="left"/>
      <w:pPr>
        <w:ind w:left="4968" w:hanging="360"/>
      </w:pPr>
      <w:rPr>
        <w:rFonts w:ascii="Symbol" w:hAnsi="Symbol" w:hint="default"/>
      </w:rPr>
    </w:lvl>
    <w:lvl w:ilvl="7">
      <w:start w:val="1"/>
      <w:numFmt w:val="bullet"/>
      <w:lvlText w:val="o"/>
      <w:lvlJc w:val="left"/>
      <w:pPr>
        <w:ind w:left="5688" w:hanging="360"/>
      </w:pPr>
      <w:rPr>
        <w:rFonts w:ascii="Courier New" w:hAnsi="Courier New" w:cs="Courier New" w:hint="default"/>
      </w:rPr>
    </w:lvl>
    <w:lvl w:ilvl="8">
      <w:start w:val="1"/>
      <w:numFmt w:val="bullet"/>
      <w:lvlText w:val=""/>
      <w:lvlJc w:val="left"/>
      <w:pPr>
        <w:ind w:left="6408" w:hanging="360"/>
      </w:pPr>
      <w:rPr>
        <w:rFonts w:ascii="Wingdings" w:hAnsi="Wingdings" w:hint="default"/>
      </w:rPr>
    </w:lvl>
  </w:abstractNum>
  <w:abstractNum w:abstractNumId="20" w15:restartNumberingAfterBreak="0">
    <w:nsid w:val="79591FA7"/>
    <w:multiLevelType w:val="hybridMultilevel"/>
    <w:tmpl w:val="19BECCEA"/>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21" w15:restartNumberingAfterBreak="0">
    <w:nsid w:val="798B0C58"/>
    <w:multiLevelType w:val="hybridMultilevel"/>
    <w:tmpl w:val="8AC65642"/>
    <w:lvl w:ilvl="0" w:tplc="04090001">
      <w:start w:val="1"/>
      <w:numFmt w:val="bullet"/>
      <w:lvlText w:val=""/>
      <w:lvlJc w:val="left"/>
      <w:pPr>
        <w:ind w:left="648" w:hanging="360"/>
      </w:pPr>
      <w:rPr>
        <w:rFonts w:ascii="Symbol" w:hAnsi="Symbol" w:hint="default"/>
      </w:rPr>
    </w:lvl>
    <w:lvl w:ilvl="1" w:tplc="FFFFFFFF" w:tentative="1">
      <w:start w:val="1"/>
      <w:numFmt w:val="bullet"/>
      <w:lvlText w:val="o"/>
      <w:lvlJc w:val="left"/>
      <w:pPr>
        <w:ind w:left="1368" w:hanging="360"/>
      </w:pPr>
      <w:rPr>
        <w:rFonts w:ascii="Courier New" w:hAnsi="Courier New" w:cs="Courier New" w:hint="default"/>
      </w:rPr>
    </w:lvl>
    <w:lvl w:ilvl="2" w:tplc="FFFFFFFF" w:tentative="1">
      <w:start w:val="1"/>
      <w:numFmt w:val="bullet"/>
      <w:lvlText w:val=""/>
      <w:lvlJc w:val="left"/>
      <w:pPr>
        <w:ind w:left="2088" w:hanging="360"/>
      </w:pPr>
      <w:rPr>
        <w:rFonts w:ascii="Wingdings" w:hAnsi="Wingdings" w:hint="default"/>
      </w:rPr>
    </w:lvl>
    <w:lvl w:ilvl="3" w:tplc="FFFFFFFF" w:tentative="1">
      <w:start w:val="1"/>
      <w:numFmt w:val="bullet"/>
      <w:lvlText w:val=""/>
      <w:lvlJc w:val="left"/>
      <w:pPr>
        <w:ind w:left="2808" w:hanging="360"/>
      </w:pPr>
      <w:rPr>
        <w:rFonts w:ascii="Symbol" w:hAnsi="Symbol" w:hint="default"/>
      </w:rPr>
    </w:lvl>
    <w:lvl w:ilvl="4" w:tplc="FFFFFFFF" w:tentative="1">
      <w:start w:val="1"/>
      <w:numFmt w:val="bullet"/>
      <w:lvlText w:val="o"/>
      <w:lvlJc w:val="left"/>
      <w:pPr>
        <w:ind w:left="3528" w:hanging="360"/>
      </w:pPr>
      <w:rPr>
        <w:rFonts w:ascii="Courier New" w:hAnsi="Courier New" w:cs="Courier New" w:hint="default"/>
      </w:rPr>
    </w:lvl>
    <w:lvl w:ilvl="5" w:tplc="FFFFFFFF" w:tentative="1">
      <w:start w:val="1"/>
      <w:numFmt w:val="bullet"/>
      <w:lvlText w:val=""/>
      <w:lvlJc w:val="left"/>
      <w:pPr>
        <w:ind w:left="4248" w:hanging="360"/>
      </w:pPr>
      <w:rPr>
        <w:rFonts w:ascii="Wingdings" w:hAnsi="Wingdings" w:hint="default"/>
      </w:rPr>
    </w:lvl>
    <w:lvl w:ilvl="6" w:tplc="FFFFFFFF" w:tentative="1">
      <w:start w:val="1"/>
      <w:numFmt w:val="bullet"/>
      <w:lvlText w:val=""/>
      <w:lvlJc w:val="left"/>
      <w:pPr>
        <w:ind w:left="4968" w:hanging="360"/>
      </w:pPr>
      <w:rPr>
        <w:rFonts w:ascii="Symbol" w:hAnsi="Symbol" w:hint="default"/>
      </w:rPr>
    </w:lvl>
    <w:lvl w:ilvl="7" w:tplc="FFFFFFFF" w:tentative="1">
      <w:start w:val="1"/>
      <w:numFmt w:val="bullet"/>
      <w:lvlText w:val="o"/>
      <w:lvlJc w:val="left"/>
      <w:pPr>
        <w:ind w:left="5688" w:hanging="360"/>
      </w:pPr>
      <w:rPr>
        <w:rFonts w:ascii="Courier New" w:hAnsi="Courier New" w:cs="Courier New" w:hint="default"/>
      </w:rPr>
    </w:lvl>
    <w:lvl w:ilvl="8" w:tplc="FFFFFFFF" w:tentative="1">
      <w:start w:val="1"/>
      <w:numFmt w:val="bullet"/>
      <w:lvlText w:val=""/>
      <w:lvlJc w:val="left"/>
      <w:pPr>
        <w:ind w:left="6408" w:hanging="360"/>
      </w:pPr>
      <w:rPr>
        <w:rFonts w:ascii="Wingdings" w:hAnsi="Wingdings" w:hint="default"/>
      </w:rPr>
    </w:lvl>
  </w:abstractNum>
  <w:num w:numId="1" w16cid:durableId="549072712">
    <w:abstractNumId w:val="7"/>
  </w:num>
  <w:num w:numId="2" w16cid:durableId="1272319201">
    <w:abstractNumId w:val="11"/>
  </w:num>
  <w:num w:numId="3" w16cid:durableId="2062054266">
    <w:abstractNumId w:val="13"/>
  </w:num>
  <w:num w:numId="4" w16cid:durableId="993073646">
    <w:abstractNumId w:val="18"/>
  </w:num>
  <w:num w:numId="5" w16cid:durableId="363409286">
    <w:abstractNumId w:val="16"/>
  </w:num>
  <w:num w:numId="6" w16cid:durableId="1035498148">
    <w:abstractNumId w:val="14"/>
  </w:num>
  <w:num w:numId="7" w16cid:durableId="1248417543">
    <w:abstractNumId w:val="15"/>
  </w:num>
  <w:num w:numId="8" w16cid:durableId="1456020001">
    <w:abstractNumId w:val="4"/>
  </w:num>
  <w:num w:numId="9" w16cid:durableId="260142807">
    <w:abstractNumId w:val="3"/>
  </w:num>
  <w:num w:numId="10" w16cid:durableId="842360511">
    <w:abstractNumId w:val="2"/>
  </w:num>
  <w:num w:numId="11" w16cid:durableId="2109882703">
    <w:abstractNumId w:val="9"/>
  </w:num>
  <w:num w:numId="12" w16cid:durableId="1403525771">
    <w:abstractNumId w:val="20"/>
  </w:num>
  <w:num w:numId="13" w16cid:durableId="1340348473">
    <w:abstractNumId w:val="17"/>
  </w:num>
  <w:num w:numId="14" w16cid:durableId="799304562">
    <w:abstractNumId w:val="1"/>
  </w:num>
  <w:num w:numId="15" w16cid:durableId="908882532">
    <w:abstractNumId w:val="10"/>
  </w:num>
  <w:num w:numId="16" w16cid:durableId="362875201">
    <w:abstractNumId w:val="19"/>
  </w:num>
  <w:num w:numId="17" w16cid:durableId="1021785946">
    <w:abstractNumId w:val="21"/>
  </w:num>
  <w:num w:numId="18" w16cid:durableId="386030479">
    <w:abstractNumId w:val="0"/>
  </w:num>
  <w:num w:numId="19" w16cid:durableId="2070766671">
    <w:abstractNumId w:val="5"/>
  </w:num>
  <w:num w:numId="20" w16cid:durableId="322469618">
    <w:abstractNumId w:val="12"/>
  </w:num>
  <w:num w:numId="21" w16cid:durableId="474301932">
    <w:abstractNumId w:val="8"/>
  </w:num>
  <w:num w:numId="22" w16cid:durableId="11254660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consecutiveHyphenLimit w:val="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8B9"/>
    <w:rsid w:val="00007EC9"/>
    <w:rsid w:val="0002076B"/>
    <w:rsid w:val="000252A4"/>
    <w:rsid w:val="000361FD"/>
    <w:rsid w:val="0004422B"/>
    <w:rsid w:val="000505D9"/>
    <w:rsid w:val="00050F1C"/>
    <w:rsid w:val="00053C74"/>
    <w:rsid w:val="00054AFE"/>
    <w:rsid w:val="0006116C"/>
    <w:rsid w:val="00063EAF"/>
    <w:rsid w:val="00064255"/>
    <w:rsid w:val="00076059"/>
    <w:rsid w:val="000779E0"/>
    <w:rsid w:val="00084277"/>
    <w:rsid w:val="000846F8"/>
    <w:rsid w:val="00090559"/>
    <w:rsid w:val="00092412"/>
    <w:rsid w:val="00093019"/>
    <w:rsid w:val="00096480"/>
    <w:rsid w:val="000A4FE3"/>
    <w:rsid w:val="000D3091"/>
    <w:rsid w:val="000D5B78"/>
    <w:rsid w:val="000D5C1C"/>
    <w:rsid w:val="000E2E38"/>
    <w:rsid w:val="000E4A6D"/>
    <w:rsid w:val="000F2EF3"/>
    <w:rsid w:val="000F55A0"/>
    <w:rsid w:val="00103463"/>
    <w:rsid w:val="0010559D"/>
    <w:rsid w:val="00107341"/>
    <w:rsid w:val="00135D25"/>
    <w:rsid w:val="0015026F"/>
    <w:rsid w:val="0015480D"/>
    <w:rsid w:val="00156082"/>
    <w:rsid w:val="00174581"/>
    <w:rsid w:val="00176961"/>
    <w:rsid w:val="00186DE6"/>
    <w:rsid w:val="00191497"/>
    <w:rsid w:val="00194F0A"/>
    <w:rsid w:val="001963DF"/>
    <w:rsid w:val="001A3E4D"/>
    <w:rsid w:val="001C497C"/>
    <w:rsid w:val="001D1469"/>
    <w:rsid w:val="001D2074"/>
    <w:rsid w:val="001D5A55"/>
    <w:rsid w:val="001E5939"/>
    <w:rsid w:val="001F63AF"/>
    <w:rsid w:val="00202A57"/>
    <w:rsid w:val="00202DA0"/>
    <w:rsid w:val="002343F8"/>
    <w:rsid w:val="00240668"/>
    <w:rsid w:val="00241168"/>
    <w:rsid w:val="002663B5"/>
    <w:rsid w:val="00274883"/>
    <w:rsid w:val="00296595"/>
    <w:rsid w:val="002A5C70"/>
    <w:rsid w:val="002B6716"/>
    <w:rsid w:val="002E07C5"/>
    <w:rsid w:val="002E0DA6"/>
    <w:rsid w:val="002E3728"/>
    <w:rsid w:val="002E4014"/>
    <w:rsid w:val="003100F0"/>
    <w:rsid w:val="003172F7"/>
    <w:rsid w:val="00325ACD"/>
    <w:rsid w:val="0033409B"/>
    <w:rsid w:val="00345DE7"/>
    <w:rsid w:val="00346244"/>
    <w:rsid w:val="0035481B"/>
    <w:rsid w:val="00364FBA"/>
    <w:rsid w:val="00371797"/>
    <w:rsid w:val="003A613C"/>
    <w:rsid w:val="003A6F4E"/>
    <w:rsid w:val="003D40EF"/>
    <w:rsid w:val="003E219E"/>
    <w:rsid w:val="00402336"/>
    <w:rsid w:val="00402D2D"/>
    <w:rsid w:val="0040665B"/>
    <w:rsid w:val="004079EE"/>
    <w:rsid w:val="0044267C"/>
    <w:rsid w:val="00451F6E"/>
    <w:rsid w:val="00460D3B"/>
    <w:rsid w:val="00467A19"/>
    <w:rsid w:val="004729A9"/>
    <w:rsid w:val="00476506"/>
    <w:rsid w:val="00485D06"/>
    <w:rsid w:val="0049022B"/>
    <w:rsid w:val="00495BD3"/>
    <w:rsid w:val="00496400"/>
    <w:rsid w:val="004A13C9"/>
    <w:rsid w:val="004A3220"/>
    <w:rsid w:val="004A5F8F"/>
    <w:rsid w:val="004A68C1"/>
    <w:rsid w:val="004B3DAE"/>
    <w:rsid w:val="004B523A"/>
    <w:rsid w:val="004C406A"/>
    <w:rsid w:val="004C6783"/>
    <w:rsid w:val="004C6FDB"/>
    <w:rsid w:val="004D37B2"/>
    <w:rsid w:val="004E6EFD"/>
    <w:rsid w:val="004E770C"/>
    <w:rsid w:val="00505F07"/>
    <w:rsid w:val="00520157"/>
    <w:rsid w:val="00524D19"/>
    <w:rsid w:val="00527FBB"/>
    <w:rsid w:val="0053365C"/>
    <w:rsid w:val="00534DED"/>
    <w:rsid w:val="00540487"/>
    <w:rsid w:val="005460B2"/>
    <w:rsid w:val="00547A55"/>
    <w:rsid w:val="00554499"/>
    <w:rsid w:val="00554626"/>
    <w:rsid w:val="005550CE"/>
    <w:rsid w:val="005619AD"/>
    <w:rsid w:val="0057324F"/>
    <w:rsid w:val="005741C2"/>
    <w:rsid w:val="00575963"/>
    <w:rsid w:val="00576287"/>
    <w:rsid w:val="00580E06"/>
    <w:rsid w:val="00587253"/>
    <w:rsid w:val="00595B3B"/>
    <w:rsid w:val="005A14E7"/>
    <w:rsid w:val="005A22D3"/>
    <w:rsid w:val="005A5B4F"/>
    <w:rsid w:val="005B1222"/>
    <w:rsid w:val="005B72E9"/>
    <w:rsid w:val="005C0621"/>
    <w:rsid w:val="005C7770"/>
    <w:rsid w:val="005D04CF"/>
    <w:rsid w:val="005D1344"/>
    <w:rsid w:val="005D307E"/>
    <w:rsid w:val="005D5FE0"/>
    <w:rsid w:val="005F4C21"/>
    <w:rsid w:val="005F5291"/>
    <w:rsid w:val="00605DB4"/>
    <w:rsid w:val="00614611"/>
    <w:rsid w:val="00616021"/>
    <w:rsid w:val="0062278F"/>
    <w:rsid w:val="006327A6"/>
    <w:rsid w:val="00655059"/>
    <w:rsid w:val="006608C2"/>
    <w:rsid w:val="00664942"/>
    <w:rsid w:val="00665662"/>
    <w:rsid w:val="00666B9D"/>
    <w:rsid w:val="00673F2A"/>
    <w:rsid w:val="0068775B"/>
    <w:rsid w:val="00692844"/>
    <w:rsid w:val="006B2231"/>
    <w:rsid w:val="006C0719"/>
    <w:rsid w:val="006C1B8E"/>
    <w:rsid w:val="006D3B48"/>
    <w:rsid w:val="006D4E3F"/>
    <w:rsid w:val="006E2D94"/>
    <w:rsid w:val="006F26DA"/>
    <w:rsid w:val="00703DC5"/>
    <w:rsid w:val="007073A6"/>
    <w:rsid w:val="00742C34"/>
    <w:rsid w:val="007576C8"/>
    <w:rsid w:val="00775530"/>
    <w:rsid w:val="00775933"/>
    <w:rsid w:val="007769BB"/>
    <w:rsid w:val="00777AE8"/>
    <w:rsid w:val="00780445"/>
    <w:rsid w:val="007816D7"/>
    <w:rsid w:val="00797959"/>
    <w:rsid w:val="007B2013"/>
    <w:rsid w:val="007C4635"/>
    <w:rsid w:val="007D0542"/>
    <w:rsid w:val="007D0676"/>
    <w:rsid w:val="007D28B9"/>
    <w:rsid w:val="007D4E1B"/>
    <w:rsid w:val="007D522E"/>
    <w:rsid w:val="007E78F0"/>
    <w:rsid w:val="007F6EF3"/>
    <w:rsid w:val="008042AC"/>
    <w:rsid w:val="008060DC"/>
    <w:rsid w:val="00806B17"/>
    <w:rsid w:val="00807039"/>
    <w:rsid w:val="00807049"/>
    <w:rsid w:val="008160FA"/>
    <w:rsid w:val="008206EE"/>
    <w:rsid w:val="00841B97"/>
    <w:rsid w:val="00843B94"/>
    <w:rsid w:val="00853261"/>
    <w:rsid w:val="008710AE"/>
    <w:rsid w:val="00892439"/>
    <w:rsid w:val="008975DB"/>
    <w:rsid w:val="008A30A2"/>
    <w:rsid w:val="008A56C9"/>
    <w:rsid w:val="008C2603"/>
    <w:rsid w:val="008D3176"/>
    <w:rsid w:val="008F0BB4"/>
    <w:rsid w:val="008F7EED"/>
    <w:rsid w:val="00900B31"/>
    <w:rsid w:val="009034CC"/>
    <w:rsid w:val="00916608"/>
    <w:rsid w:val="00917075"/>
    <w:rsid w:val="00917794"/>
    <w:rsid w:val="00920E90"/>
    <w:rsid w:val="0092622A"/>
    <w:rsid w:val="009325AD"/>
    <w:rsid w:val="00937AD7"/>
    <w:rsid w:val="00943E6A"/>
    <w:rsid w:val="0094669F"/>
    <w:rsid w:val="00955A00"/>
    <w:rsid w:val="0095665D"/>
    <w:rsid w:val="00963DBC"/>
    <w:rsid w:val="00971777"/>
    <w:rsid w:val="00971BC8"/>
    <w:rsid w:val="009870C8"/>
    <w:rsid w:val="009B4D1E"/>
    <w:rsid w:val="009B624F"/>
    <w:rsid w:val="009B7167"/>
    <w:rsid w:val="009C1FDD"/>
    <w:rsid w:val="009D6B2B"/>
    <w:rsid w:val="009D7F3D"/>
    <w:rsid w:val="009E594E"/>
    <w:rsid w:val="009F314E"/>
    <w:rsid w:val="00A11CB6"/>
    <w:rsid w:val="00A15B01"/>
    <w:rsid w:val="00A20091"/>
    <w:rsid w:val="00A425AE"/>
    <w:rsid w:val="00A43BBC"/>
    <w:rsid w:val="00A51933"/>
    <w:rsid w:val="00A52791"/>
    <w:rsid w:val="00A55480"/>
    <w:rsid w:val="00A56676"/>
    <w:rsid w:val="00A8561F"/>
    <w:rsid w:val="00AA2FD0"/>
    <w:rsid w:val="00AB34AC"/>
    <w:rsid w:val="00AB5991"/>
    <w:rsid w:val="00AC5EC3"/>
    <w:rsid w:val="00AD4C61"/>
    <w:rsid w:val="00AD7B88"/>
    <w:rsid w:val="00AE06DD"/>
    <w:rsid w:val="00AE7198"/>
    <w:rsid w:val="00AE77ED"/>
    <w:rsid w:val="00AE7BB5"/>
    <w:rsid w:val="00AF03A1"/>
    <w:rsid w:val="00AF4AF4"/>
    <w:rsid w:val="00B064FD"/>
    <w:rsid w:val="00B126B5"/>
    <w:rsid w:val="00B20F68"/>
    <w:rsid w:val="00B22875"/>
    <w:rsid w:val="00B25991"/>
    <w:rsid w:val="00B42833"/>
    <w:rsid w:val="00B43891"/>
    <w:rsid w:val="00B45FD8"/>
    <w:rsid w:val="00B62D7B"/>
    <w:rsid w:val="00B846D5"/>
    <w:rsid w:val="00B87A7E"/>
    <w:rsid w:val="00BA2F05"/>
    <w:rsid w:val="00BB4CA8"/>
    <w:rsid w:val="00BC13C6"/>
    <w:rsid w:val="00BF69DD"/>
    <w:rsid w:val="00C01322"/>
    <w:rsid w:val="00C34D00"/>
    <w:rsid w:val="00C4414C"/>
    <w:rsid w:val="00C65C0E"/>
    <w:rsid w:val="00C66F91"/>
    <w:rsid w:val="00C76104"/>
    <w:rsid w:val="00C82F02"/>
    <w:rsid w:val="00C84862"/>
    <w:rsid w:val="00C856E4"/>
    <w:rsid w:val="00C95133"/>
    <w:rsid w:val="00CA4A11"/>
    <w:rsid w:val="00CB08FC"/>
    <w:rsid w:val="00CB4D9E"/>
    <w:rsid w:val="00CC1F2B"/>
    <w:rsid w:val="00CE0F0A"/>
    <w:rsid w:val="00D03002"/>
    <w:rsid w:val="00D03425"/>
    <w:rsid w:val="00D05683"/>
    <w:rsid w:val="00D063C6"/>
    <w:rsid w:val="00D23F07"/>
    <w:rsid w:val="00D25AE3"/>
    <w:rsid w:val="00D32C40"/>
    <w:rsid w:val="00D3403D"/>
    <w:rsid w:val="00D50967"/>
    <w:rsid w:val="00D522BC"/>
    <w:rsid w:val="00D52D2D"/>
    <w:rsid w:val="00D53E94"/>
    <w:rsid w:val="00D805BA"/>
    <w:rsid w:val="00D90AB6"/>
    <w:rsid w:val="00D978A1"/>
    <w:rsid w:val="00DA0E8A"/>
    <w:rsid w:val="00DA5009"/>
    <w:rsid w:val="00DA7C0C"/>
    <w:rsid w:val="00DB0B0F"/>
    <w:rsid w:val="00DB4F03"/>
    <w:rsid w:val="00DB5FF7"/>
    <w:rsid w:val="00DC3949"/>
    <w:rsid w:val="00DE7D64"/>
    <w:rsid w:val="00DF140A"/>
    <w:rsid w:val="00DF2B87"/>
    <w:rsid w:val="00E108AD"/>
    <w:rsid w:val="00E26973"/>
    <w:rsid w:val="00E27A1D"/>
    <w:rsid w:val="00E40452"/>
    <w:rsid w:val="00E426B0"/>
    <w:rsid w:val="00E53730"/>
    <w:rsid w:val="00E6251F"/>
    <w:rsid w:val="00E653DF"/>
    <w:rsid w:val="00E74D19"/>
    <w:rsid w:val="00E84240"/>
    <w:rsid w:val="00E8537E"/>
    <w:rsid w:val="00EA06FA"/>
    <w:rsid w:val="00EA5B7E"/>
    <w:rsid w:val="00EA6254"/>
    <w:rsid w:val="00EC0ACC"/>
    <w:rsid w:val="00EC2F09"/>
    <w:rsid w:val="00EC399A"/>
    <w:rsid w:val="00ED6C68"/>
    <w:rsid w:val="00EE1EB5"/>
    <w:rsid w:val="00F01962"/>
    <w:rsid w:val="00F043BC"/>
    <w:rsid w:val="00F17294"/>
    <w:rsid w:val="00F32DB7"/>
    <w:rsid w:val="00F62824"/>
    <w:rsid w:val="00F75EE7"/>
    <w:rsid w:val="00F95FF6"/>
    <w:rsid w:val="00FA06D9"/>
    <w:rsid w:val="00FA300B"/>
    <w:rsid w:val="00FD641F"/>
    <w:rsid w:val="00FE1598"/>
    <w:rsid w:val="00FE53F9"/>
    <w:rsid w:val="00FE5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8CDE84"/>
  <w15:chartTrackingRefBased/>
  <w15:docId w15:val="{6259092C-0898-4DB4-9DB5-4CE8F50D3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2F02"/>
    <w:pPr>
      <w:ind w:firstLine="288"/>
      <w:jc w:val="both"/>
    </w:pPr>
    <w:rPr>
      <w:szCs w:val="22"/>
    </w:rPr>
  </w:style>
  <w:style w:type="paragraph" w:styleId="Heading1">
    <w:name w:val="heading 1"/>
    <w:basedOn w:val="Normal"/>
    <w:next w:val="Normal"/>
    <w:link w:val="Heading1Char"/>
    <w:qFormat/>
    <w:rsid w:val="00063EAF"/>
    <w:pPr>
      <w:keepNext/>
      <w:keepLines/>
      <w:ind w:firstLine="0"/>
      <w:jc w:val="center"/>
      <w:outlineLvl w:val="0"/>
    </w:pPr>
    <w:rPr>
      <w:rFonts w:eastAsiaTheme="majorEastAsia" w:cstheme="majorBidi"/>
      <w:b/>
      <w:sz w:val="40"/>
      <w:szCs w:val="32"/>
    </w:rPr>
  </w:style>
  <w:style w:type="paragraph" w:styleId="Heading2">
    <w:name w:val="heading 2"/>
    <w:basedOn w:val="Normal"/>
    <w:next w:val="Normal"/>
    <w:link w:val="Heading2Char"/>
    <w:qFormat/>
    <w:rsid w:val="00841B97"/>
    <w:pPr>
      <w:keepNext/>
      <w:keepLines/>
      <w:spacing w:before="120" w:after="120"/>
      <w:ind w:firstLine="0"/>
      <w:jc w:val="center"/>
      <w:outlineLvl w:val="1"/>
    </w:pPr>
    <w:rPr>
      <w:rFonts w:eastAsiaTheme="majorEastAsia"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D28B9"/>
    <w:pPr>
      <w:tabs>
        <w:tab w:val="center" w:pos="4320"/>
        <w:tab w:val="right" w:pos="8640"/>
      </w:tabs>
    </w:pPr>
  </w:style>
  <w:style w:type="paragraph" w:styleId="Footer">
    <w:name w:val="footer"/>
    <w:basedOn w:val="Normal"/>
    <w:rsid w:val="007D28B9"/>
    <w:pPr>
      <w:tabs>
        <w:tab w:val="center" w:pos="4320"/>
        <w:tab w:val="right" w:pos="8640"/>
      </w:tabs>
    </w:pPr>
  </w:style>
  <w:style w:type="character" w:customStyle="1" w:styleId="Heading1Char">
    <w:name w:val="Heading 1 Char"/>
    <w:basedOn w:val="DefaultParagraphFont"/>
    <w:link w:val="Heading1"/>
    <w:rsid w:val="00063EAF"/>
    <w:rPr>
      <w:rFonts w:eastAsiaTheme="majorEastAsia" w:cstheme="majorBidi"/>
      <w:b/>
      <w:sz w:val="40"/>
      <w:szCs w:val="32"/>
    </w:rPr>
  </w:style>
  <w:style w:type="character" w:customStyle="1" w:styleId="Heading2Char">
    <w:name w:val="Heading 2 Char"/>
    <w:basedOn w:val="DefaultParagraphFont"/>
    <w:link w:val="Heading2"/>
    <w:rsid w:val="00841B97"/>
    <w:rPr>
      <w:rFonts w:eastAsiaTheme="majorEastAsia" w:cstheme="majorBidi"/>
      <w:b/>
      <w:sz w:val="24"/>
      <w:szCs w:val="26"/>
    </w:rPr>
  </w:style>
  <w:style w:type="paragraph" w:customStyle="1" w:styleId="FirstParagraph">
    <w:name w:val="First Paragraph"/>
    <w:basedOn w:val="Normal"/>
    <w:qFormat/>
    <w:rsid w:val="00841B97"/>
    <w:pPr>
      <w:ind w:firstLine="0"/>
    </w:pPr>
  </w:style>
  <w:style w:type="paragraph" w:styleId="ListParagraph">
    <w:name w:val="List Paragraph"/>
    <w:basedOn w:val="Normal"/>
    <w:uiPriority w:val="34"/>
    <w:qFormat/>
    <w:rsid w:val="007816D7"/>
    <w:pPr>
      <w:ind w:left="720"/>
      <w:contextualSpacing/>
    </w:pPr>
  </w:style>
  <w:style w:type="paragraph" w:styleId="FootnoteText">
    <w:name w:val="footnote text"/>
    <w:basedOn w:val="Normal"/>
    <w:link w:val="FootnoteTextChar"/>
    <w:rsid w:val="00797959"/>
    <w:rPr>
      <w:szCs w:val="20"/>
    </w:rPr>
  </w:style>
  <w:style w:type="character" w:customStyle="1" w:styleId="FootnoteTextChar">
    <w:name w:val="Footnote Text Char"/>
    <w:basedOn w:val="DefaultParagraphFont"/>
    <w:link w:val="FootnoteText"/>
    <w:rsid w:val="00797959"/>
  </w:style>
  <w:style w:type="character" w:styleId="FootnoteReference">
    <w:name w:val="footnote reference"/>
    <w:basedOn w:val="DefaultParagraphFont"/>
    <w:rsid w:val="00797959"/>
    <w:rPr>
      <w:vertAlign w:val="superscript"/>
    </w:rPr>
  </w:style>
  <w:style w:type="character" w:customStyle="1" w:styleId="HeaderChar">
    <w:name w:val="Header Char"/>
    <w:basedOn w:val="DefaultParagraphFont"/>
    <w:link w:val="Header"/>
    <w:rsid w:val="001F63AF"/>
    <w:rPr>
      <w:szCs w:val="22"/>
    </w:rPr>
  </w:style>
  <w:style w:type="character" w:styleId="Hyperlink">
    <w:name w:val="Hyperlink"/>
    <w:basedOn w:val="DefaultParagraphFont"/>
    <w:rsid w:val="00D25AE3"/>
    <w:rPr>
      <w:color w:val="0563C1" w:themeColor="hyperlink"/>
      <w:u w:val="single"/>
    </w:rPr>
  </w:style>
  <w:style w:type="character" w:styleId="UnresolvedMention">
    <w:name w:val="Unresolved Mention"/>
    <w:basedOn w:val="DefaultParagraphFont"/>
    <w:uiPriority w:val="99"/>
    <w:semiHidden/>
    <w:unhideWhenUsed/>
    <w:rsid w:val="00D25AE3"/>
    <w:rPr>
      <w:color w:val="605E5C"/>
      <w:shd w:val="clear" w:color="auto" w:fill="E1DFDD"/>
    </w:rPr>
  </w:style>
  <w:style w:type="numbering" w:customStyle="1" w:styleId="CurrentList1">
    <w:name w:val="Current List1"/>
    <w:uiPriority w:val="99"/>
    <w:rsid w:val="009B624F"/>
    <w:pPr>
      <w:numPr>
        <w:numId w:val="16"/>
      </w:numPr>
    </w:pPr>
  </w:style>
  <w:style w:type="numbering" w:customStyle="1" w:styleId="CurrentList2">
    <w:name w:val="Current List2"/>
    <w:uiPriority w:val="99"/>
    <w:rsid w:val="009B624F"/>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0409146">
      <w:bodyDiv w:val="1"/>
      <w:marLeft w:val="0"/>
      <w:marRight w:val="0"/>
      <w:marTop w:val="0"/>
      <w:marBottom w:val="0"/>
      <w:divBdr>
        <w:top w:val="none" w:sz="0" w:space="0" w:color="auto"/>
        <w:left w:val="none" w:sz="0" w:space="0" w:color="auto"/>
        <w:bottom w:val="none" w:sz="0" w:space="0" w:color="auto"/>
        <w:right w:val="none" w:sz="0" w:space="0" w:color="auto"/>
      </w:divBdr>
      <w:divsChild>
        <w:div w:id="582954353">
          <w:marLeft w:val="0"/>
          <w:marRight w:val="0"/>
          <w:marTop w:val="0"/>
          <w:marBottom w:val="0"/>
          <w:divBdr>
            <w:top w:val="none" w:sz="0" w:space="0" w:color="auto"/>
            <w:left w:val="none" w:sz="0" w:space="0" w:color="auto"/>
            <w:bottom w:val="none" w:sz="0" w:space="0" w:color="auto"/>
            <w:right w:val="none" w:sz="0" w:space="0" w:color="auto"/>
          </w:divBdr>
        </w:div>
        <w:div w:id="1222865426">
          <w:marLeft w:val="0"/>
          <w:marRight w:val="0"/>
          <w:marTop w:val="0"/>
          <w:marBottom w:val="0"/>
          <w:divBdr>
            <w:top w:val="none" w:sz="0" w:space="0" w:color="auto"/>
            <w:left w:val="none" w:sz="0" w:space="0" w:color="auto"/>
            <w:bottom w:val="none" w:sz="0" w:space="0" w:color="auto"/>
            <w:right w:val="none" w:sz="0" w:space="0" w:color="auto"/>
          </w:divBdr>
          <w:divsChild>
            <w:div w:id="156140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928693">
      <w:bodyDiv w:val="1"/>
      <w:marLeft w:val="0"/>
      <w:marRight w:val="0"/>
      <w:marTop w:val="0"/>
      <w:marBottom w:val="0"/>
      <w:divBdr>
        <w:top w:val="none" w:sz="0" w:space="0" w:color="auto"/>
        <w:left w:val="none" w:sz="0" w:space="0" w:color="auto"/>
        <w:bottom w:val="none" w:sz="0" w:space="0" w:color="auto"/>
        <w:right w:val="none" w:sz="0" w:space="0" w:color="auto"/>
      </w:divBdr>
      <w:divsChild>
        <w:div w:id="1164319121">
          <w:marLeft w:val="0"/>
          <w:marRight w:val="0"/>
          <w:marTop w:val="0"/>
          <w:marBottom w:val="0"/>
          <w:divBdr>
            <w:top w:val="none" w:sz="0" w:space="0" w:color="auto"/>
            <w:left w:val="none" w:sz="0" w:space="0" w:color="auto"/>
            <w:bottom w:val="none" w:sz="0" w:space="0" w:color="auto"/>
            <w:right w:val="none" w:sz="0" w:space="0" w:color="auto"/>
          </w:divBdr>
          <w:divsChild>
            <w:div w:id="1284651928">
              <w:marLeft w:val="0"/>
              <w:marRight w:val="0"/>
              <w:marTop w:val="0"/>
              <w:marBottom w:val="0"/>
              <w:divBdr>
                <w:top w:val="none" w:sz="0" w:space="0" w:color="auto"/>
                <w:left w:val="none" w:sz="0" w:space="0" w:color="auto"/>
                <w:bottom w:val="none" w:sz="0" w:space="0" w:color="auto"/>
                <w:right w:val="none" w:sz="0" w:space="0" w:color="auto"/>
              </w:divBdr>
              <w:divsChild>
                <w:div w:id="1725175860">
                  <w:marLeft w:val="0"/>
                  <w:marRight w:val="0"/>
                  <w:marTop w:val="0"/>
                  <w:marBottom w:val="0"/>
                  <w:divBdr>
                    <w:top w:val="none" w:sz="0" w:space="0" w:color="auto"/>
                    <w:left w:val="none" w:sz="0" w:space="0" w:color="auto"/>
                    <w:bottom w:val="none" w:sz="0" w:space="0" w:color="auto"/>
                    <w:right w:val="none" w:sz="0" w:space="0" w:color="auto"/>
                  </w:divBdr>
                  <w:divsChild>
                    <w:div w:id="1054739072">
                      <w:marLeft w:val="0"/>
                      <w:marRight w:val="0"/>
                      <w:marTop w:val="0"/>
                      <w:marBottom w:val="0"/>
                      <w:divBdr>
                        <w:top w:val="none" w:sz="0" w:space="0" w:color="auto"/>
                        <w:left w:val="none" w:sz="0" w:space="0" w:color="auto"/>
                        <w:bottom w:val="none" w:sz="0" w:space="0" w:color="auto"/>
                        <w:right w:val="none" w:sz="0" w:space="0" w:color="auto"/>
                      </w:divBdr>
                      <w:divsChild>
                        <w:div w:id="893929321">
                          <w:marLeft w:val="0"/>
                          <w:marRight w:val="0"/>
                          <w:marTop w:val="0"/>
                          <w:marBottom w:val="0"/>
                          <w:divBdr>
                            <w:top w:val="none" w:sz="0" w:space="0" w:color="auto"/>
                            <w:left w:val="none" w:sz="0" w:space="0" w:color="auto"/>
                            <w:bottom w:val="none" w:sz="0" w:space="0" w:color="auto"/>
                            <w:right w:val="none" w:sz="0" w:space="0" w:color="auto"/>
                          </w:divBdr>
                        </w:div>
                        <w:div w:id="41859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09694">
                  <w:marLeft w:val="0"/>
                  <w:marRight w:val="0"/>
                  <w:marTop w:val="0"/>
                  <w:marBottom w:val="0"/>
                  <w:divBdr>
                    <w:top w:val="none" w:sz="0" w:space="0" w:color="auto"/>
                    <w:left w:val="none" w:sz="0" w:space="0" w:color="auto"/>
                    <w:bottom w:val="none" w:sz="0" w:space="0" w:color="auto"/>
                    <w:right w:val="none" w:sz="0" w:space="0" w:color="auto"/>
                  </w:divBdr>
                  <w:divsChild>
                    <w:div w:id="2077583505">
                      <w:marLeft w:val="0"/>
                      <w:marRight w:val="0"/>
                      <w:marTop w:val="0"/>
                      <w:marBottom w:val="0"/>
                      <w:divBdr>
                        <w:top w:val="none" w:sz="0" w:space="0" w:color="auto"/>
                        <w:left w:val="none" w:sz="0" w:space="0" w:color="auto"/>
                        <w:bottom w:val="none" w:sz="0" w:space="0" w:color="auto"/>
                        <w:right w:val="none" w:sz="0" w:space="0" w:color="auto"/>
                      </w:divBdr>
                      <w:divsChild>
                        <w:div w:id="145442064">
                          <w:marLeft w:val="0"/>
                          <w:marRight w:val="0"/>
                          <w:marTop w:val="0"/>
                          <w:marBottom w:val="0"/>
                          <w:divBdr>
                            <w:top w:val="none" w:sz="0" w:space="0" w:color="auto"/>
                            <w:left w:val="none" w:sz="0" w:space="0" w:color="auto"/>
                            <w:bottom w:val="none" w:sz="0" w:space="0" w:color="auto"/>
                            <w:right w:val="none" w:sz="0" w:space="0" w:color="auto"/>
                          </w:divBdr>
                        </w:div>
                        <w:div w:id="4780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274642">
                  <w:marLeft w:val="0"/>
                  <w:marRight w:val="0"/>
                  <w:marTop w:val="0"/>
                  <w:marBottom w:val="0"/>
                  <w:divBdr>
                    <w:top w:val="none" w:sz="0" w:space="0" w:color="auto"/>
                    <w:left w:val="none" w:sz="0" w:space="0" w:color="auto"/>
                    <w:bottom w:val="none" w:sz="0" w:space="0" w:color="auto"/>
                    <w:right w:val="none" w:sz="0" w:space="0" w:color="auto"/>
                  </w:divBdr>
                  <w:divsChild>
                    <w:div w:id="288633004">
                      <w:marLeft w:val="0"/>
                      <w:marRight w:val="0"/>
                      <w:marTop w:val="0"/>
                      <w:marBottom w:val="0"/>
                      <w:divBdr>
                        <w:top w:val="none" w:sz="0" w:space="0" w:color="auto"/>
                        <w:left w:val="none" w:sz="0" w:space="0" w:color="auto"/>
                        <w:bottom w:val="none" w:sz="0" w:space="0" w:color="auto"/>
                        <w:right w:val="none" w:sz="0" w:space="0" w:color="auto"/>
                      </w:divBdr>
                      <w:divsChild>
                        <w:div w:id="295379111">
                          <w:marLeft w:val="0"/>
                          <w:marRight w:val="0"/>
                          <w:marTop w:val="0"/>
                          <w:marBottom w:val="0"/>
                          <w:divBdr>
                            <w:top w:val="none" w:sz="0" w:space="0" w:color="auto"/>
                            <w:left w:val="none" w:sz="0" w:space="0" w:color="auto"/>
                            <w:bottom w:val="none" w:sz="0" w:space="0" w:color="auto"/>
                            <w:right w:val="none" w:sz="0" w:space="0" w:color="auto"/>
                          </w:divBdr>
                        </w:div>
                        <w:div w:id="120364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186738">
                  <w:marLeft w:val="0"/>
                  <w:marRight w:val="0"/>
                  <w:marTop w:val="0"/>
                  <w:marBottom w:val="0"/>
                  <w:divBdr>
                    <w:top w:val="none" w:sz="0" w:space="0" w:color="auto"/>
                    <w:left w:val="none" w:sz="0" w:space="0" w:color="auto"/>
                    <w:bottom w:val="none" w:sz="0" w:space="0" w:color="auto"/>
                    <w:right w:val="none" w:sz="0" w:space="0" w:color="auto"/>
                  </w:divBdr>
                  <w:divsChild>
                    <w:div w:id="1962606721">
                      <w:marLeft w:val="0"/>
                      <w:marRight w:val="0"/>
                      <w:marTop w:val="0"/>
                      <w:marBottom w:val="0"/>
                      <w:divBdr>
                        <w:top w:val="none" w:sz="0" w:space="0" w:color="auto"/>
                        <w:left w:val="none" w:sz="0" w:space="0" w:color="auto"/>
                        <w:bottom w:val="none" w:sz="0" w:space="0" w:color="auto"/>
                        <w:right w:val="none" w:sz="0" w:space="0" w:color="auto"/>
                      </w:divBdr>
                      <w:divsChild>
                        <w:div w:id="34139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354401">
                  <w:marLeft w:val="0"/>
                  <w:marRight w:val="0"/>
                  <w:marTop w:val="0"/>
                  <w:marBottom w:val="0"/>
                  <w:divBdr>
                    <w:top w:val="none" w:sz="0" w:space="0" w:color="auto"/>
                    <w:left w:val="none" w:sz="0" w:space="0" w:color="auto"/>
                    <w:bottom w:val="none" w:sz="0" w:space="0" w:color="auto"/>
                    <w:right w:val="none" w:sz="0" w:space="0" w:color="auto"/>
                  </w:divBdr>
                  <w:divsChild>
                    <w:div w:id="2073044786">
                      <w:marLeft w:val="0"/>
                      <w:marRight w:val="0"/>
                      <w:marTop w:val="0"/>
                      <w:marBottom w:val="0"/>
                      <w:divBdr>
                        <w:top w:val="none" w:sz="0" w:space="0" w:color="auto"/>
                        <w:left w:val="none" w:sz="0" w:space="0" w:color="auto"/>
                        <w:bottom w:val="none" w:sz="0" w:space="0" w:color="auto"/>
                        <w:right w:val="none" w:sz="0" w:space="0" w:color="auto"/>
                      </w:divBdr>
                      <w:divsChild>
                        <w:div w:id="149764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058788">
                  <w:marLeft w:val="0"/>
                  <w:marRight w:val="0"/>
                  <w:marTop w:val="0"/>
                  <w:marBottom w:val="0"/>
                  <w:divBdr>
                    <w:top w:val="none" w:sz="0" w:space="0" w:color="auto"/>
                    <w:left w:val="none" w:sz="0" w:space="0" w:color="auto"/>
                    <w:bottom w:val="none" w:sz="0" w:space="0" w:color="auto"/>
                    <w:right w:val="none" w:sz="0" w:space="0" w:color="auto"/>
                  </w:divBdr>
                  <w:divsChild>
                    <w:div w:id="187836110">
                      <w:marLeft w:val="0"/>
                      <w:marRight w:val="0"/>
                      <w:marTop w:val="0"/>
                      <w:marBottom w:val="0"/>
                      <w:divBdr>
                        <w:top w:val="none" w:sz="0" w:space="0" w:color="auto"/>
                        <w:left w:val="none" w:sz="0" w:space="0" w:color="auto"/>
                        <w:bottom w:val="none" w:sz="0" w:space="0" w:color="auto"/>
                        <w:right w:val="none" w:sz="0" w:space="0" w:color="auto"/>
                      </w:divBdr>
                      <w:divsChild>
                        <w:div w:id="351497911">
                          <w:marLeft w:val="0"/>
                          <w:marRight w:val="0"/>
                          <w:marTop w:val="0"/>
                          <w:marBottom w:val="0"/>
                          <w:divBdr>
                            <w:top w:val="none" w:sz="0" w:space="0" w:color="auto"/>
                            <w:left w:val="none" w:sz="0" w:space="0" w:color="auto"/>
                            <w:bottom w:val="none" w:sz="0" w:space="0" w:color="auto"/>
                            <w:right w:val="none" w:sz="0" w:space="0" w:color="auto"/>
                          </w:divBdr>
                        </w:div>
                        <w:div w:id="207469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743328">
                  <w:marLeft w:val="0"/>
                  <w:marRight w:val="0"/>
                  <w:marTop w:val="0"/>
                  <w:marBottom w:val="0"/>
                  <w:divBdr>
                    <w:top w:val="none" w:sz="0" w:space="0" w:color="auto"/>
                    <w:left w:val="none" w:sz="0" w:space="0" w:color="auto"/>
                    <w:bottom w:val="none" w:sz="0" w:space="0" w:color="auto"/>
                    <w:right w:val="none" w:sz="0" w:space="0" w:color="auto"/>
                  </w:divBdr>
                  <w:divsChild>
                    <w:div w:id="558979095">
                      <w:marLeft w:val="0"/>
                      <w:marRight w:val="0"/>
                      <w:marTop w:val="0"/>
                      <w:marBottom w:val="0"/>
                      <w:divBdr>
                        <w:top w:val="none" w:sz="0" w:space="0" w:color="auto"/>
                        <w:left w:val="none" w:sz="0" w:space="0" w:color="auto"/>
                        <w:bottom w:val="none" w:sz="0" w:space="0" w:color="auto"/>
                        <w:right w:val="none" w:sz="0" w:space="0" w:color="auto"/>
                      </w:divBdr>
                      <w:divsChild>
                        <w:div w:id="111714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576425">
      <w:bodyDiv w:val="1"/>
      <w:marLeft w:val="0"/>
      <w:marRight w:val="0"/>
      <w:marTop w:val="0"/>
      <w:marBottom w:val="0"/>
      <w:divBdr>
        <w:top w:val="none" w:sz="0" w:space="0" w:color="auto"/>
        <w:left w:val="none" w:sz="0" w:space="0" w:color="auto"/>
        <w:bottom w:val="none" w:sz="0" w:space="0" w:color="auto"/>
        <w:right w:val="none" w:sz="0" w:space="0" w:color="auto"/>
      </w:divBdr>
      <w:divsChild>
        <w:div w:id="1128401156">
          <w:marLeft w:val="0"/>
          <w:marRight w:val="0"/>
          <w:marTop w:val="0"/>
          <w:marBottom w:val="0"/>
          <w:divBdr>
            <w:top w:val="none" w:sz="0" w:space="0" w:color="auto"/>
            <w:left w:val="none" w:sz="0" w:space="0" w:color="auto"/>
            <w:bottom w:val="none" w:sz="0" w:space="0" w:color="auto"/>
            <w:right w:val="none" w:sz="0" w:space="0" w:color="auto"/>
          </w:divBdr>
          <w:divsChild>
            <w:div w:id="1969361623">
              <w:marLeft w:val="0"/>
              <w:marRight w:val="0"/>
              <w:marTop w:val="0"/>
              <w:marBottom w:val="0"/>
              <w:divBdr>
                <w:top w:val="none" w:sz="0" w:space="0" w:color="auto"/>
                <w:left w:val="none" w:sz="0" w:space="0" w:color="auto"/>
                <w:bottom w:val="none" w:sz="0" w:space="0" w:color="auto"/>
                <w:right w:val="none" w:sz="0" w:space="0" w:color="auto"/>
              </w:divBdr>
              <w:divsChild>
                <w:div w:id="1087657038">
                  <w:marLeft w:val="0"/>
                  <w:marRight w:val="0"/>
                  <w:marTop w:val="0"/>
                  <w:marBottom w:val="0"/>
                  <w:divBdr>
                    <w:top w:val="none" w:sz="0" w:space="0" w:color="auto"/>
                    <w:left w:val="none" w:sz="0" w:space="0" w:color="auto"/>
                    <w:bottom w:val="none" w:sz="0" w:space="0" w:color="auto"/>
                    <w:right w:val="none" w:sz="0" w:space="0" w:color="auto"/>
                  </w:divBdr>
                  <w:divsChild>
                    <w:div w:id="582373013">
                      <w:marLeft w:val="0"/>
                      <w:marRight w:val="0"/>
                      <w:marTop w:val="0"/>
                      <w:marBottom w:val="0"/>
                      <w:divBdr>
                        <w:top w:val="none" w:sz="0" w:space="0" w:color="auto"/>
                        <w:left w:val="none" w:sz="0" w:space="0" w:color="auto"/>
                        <w:bottom w:val="none" w:sz="0" w:space="0" w:color="auto"/>
                        <w:right w:val="none" w:sz="0" w:space="0" w:color="auto"/>
                      </w:divBdr>
                      <w:divsChild>
                        <w:div w:id="1133987549">
                          <w:marLeft w:val="0"/>
                          <w:marRight w:val="0"/>
                          <w:marTop w:val="0"/>
                          <w:marBottom w:val="0"/>
                          <w:divBdr>
                            <w:top w:val="none" w:sz="0" w:space="0" w:color="auto"/>
                            <w:left w:val="none" w:sz="0" w:space="0" w:color="auto"/>
                            <w:bottom w:val="none" w:sz="0" w:space="0" w:color="auto"/>
                            <w:right w:val="none" w:sz="0" w:space="0" w:color="auto"/>
                          </w:divBdr>
                        </w:div>
                        <w:div w:id="63722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073757">
                  <w:marLeft w:val="0"/>
                  <w:marRight w:val="0"/>
                  <w:marTop w:val="0"/>
                  <w:marBottom w:val="0"/>
                  <w:divBdr>
                    <w:top w:val="none" w:sz="0" w:space="0" w:color="auto"/>
                    <w:left w:val="none" w:sz="0" w:space="0" w:color="auto"/>
                    <w:bottom w:val="none" w:sz="0" w:space="0" w:color="auto"/>
                    <w:right w:val="none" w:sz="0" w:space="0" w:color="auto"/>
                  </w:divBdr>
                  <w:divsChild>
                    <w:div w:id="566452863">
                      <w:marLeft w:val="0"/>
                      <w:marRight w:val="0"/>
                      <w:marTop w:val="0"/>
                      <w:marBottom w:val="0"/>
                      <w:divBdr>
                        <w:top w:val="none" w:sz="0" w:space="0" w:color="auto"/>
                        <w:left w:val="none" w:sz="0" w:space="0" w:color="auto"/>
                        <w:bottom w:val="none" w:sz="0" w:space="0" w:color="auto"/>
                        <w:right w:val="none" w:sz="0" w:space="0" w:color="auto"/>
                      </w:divBdr>
                      <w:divsChild>
                        <w:div w:id="1586920577">
                          <w:marLeft w:val="0"/>
                          <w:marRight w:val="0"/>
                          <w:marTop w:val="0"/>
                          <w:marBottom w:val="0"/>
                          <w:divBdr>
                            <w:top w:val="none" w:sz="0" w:space="0" w:color="auto"/>
                            <w:left w:val="none" w:sz="0" w:space="0" w:color="auto"/>
                            <w:bottom w:val="none" w:sz="0" w:space="0" w:color="auto"/>
                            <w:right w:val="none" w:sz="0" w:space="0" w:color="auto"/>
                          </w:divBdr>
                        </w:div>
                        <w:div w:id="55400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641413">
                  <w:marLeft w:val="0"/>
                  <w:marRight w:val="0"/>
                  <w:marTop w:val="0"/>
                  <w:marBottom w:val="0"/>
                  <w:divBdr>
                    <w:top w:val="none" w:sz="0" w:space="0" w:color="auto"/>
                    <w:left w:val="none" w:sz="0" w:space="0" w:color="auto"/>
                    <w:bottom w:val="none" w:sz="0" w:space="0" w:color="auto"/>
                    <w:right w:val="none" w:sz="0" w:space="0" w:color="auto"/>
                  </w:divBdr>
                  <w:divsChild>
                    <w:div w:id="1400130687">
                      <w:marLeft w:val="0"/>
                      <w:marRight w:val="0"/>
                      <w:marTop w:val="0"/>
                      <w:marBottom w:val="0"/>
                      <w:divBdr>
                        <w:top w:val="none" w:sz="0" w:space="0" w:color="auto"/>
                        <w:left w:val="none" w:sz="0" w:space="0" w:color="auto"/>
                        <w:bottom w:val="none" w:sz="0" w:space="0" w:color="auto"/>
                        <w:right w:val="none" w:sz="0" w:space="0" w:color="auto"/>
                      </w:divBdr>
                      <w:divsChild>
                        <w:div w:id="832257764">
                          <w:marLeft w:val="0"/>
                          <w:marRight w:val="0"/>
                          <w:marTop w:val="0"/>
                          <w:marBottom w:val="0"/>
                          <w:divBdr>
                            <w:top w:val="none" w:sz="0" w:space="0" w:color="auto"/>
                            <w:left w:val="none" w:sz="0" w:space="0" w:color="auto"/>
                            <w:bottom w:val="none" w:sz="0" w:space="0" w:color="auto"/>
                            <w:right w:val="none" w:sz="0" w:space="0" w:color="auto"/>
                          </w:divBdr>
                        </w:div>
                        <w:div w:id="116478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984119">
                  <w:marLeft w:val="0"/>
                  <w:marRight w:val="0"/>
                  <w:marTop w:val="0"/>
                  <w:marBottom w:val="0"/>
                  <w:divBdr>
                    <w:top w:val="none" w:sz="0" w:space="0" w:color="auto"/>
                    <w:left w:val="none" w:sz="0" w:space="0" w:color="auto"/>
                    <w:bottom w:val="none" w:sz="0" w:space="0" w:color="auto"/>
                    <w:right w:val="none" w:sz="0" w:space="0" w:color="auto"/>
                  </w:divBdr>
                  <w:divsChild>
                    <w:div w:id="1690645852">
                      <w:marLeft w:val="0"/>
                      <w:marRight w:val="0"/>
                      <w:marTop w:val="0"/>
                      <w:marBottom w:val="0"/>
                      <w:divBdr>
                        <w:top w:val="none" w:sz="0" w:space="0" w:color="auto"/>
                        <w:left w:val="none" w:sz="0" w:space="0" w:color="auto"/>
                        <w:bottom w:val="none" w:sz="0" w:space="0" w:color="auto"/>
                        <w:right w:val="none" w:sz="0" w:space="0" w:color="auto"/>
                      </w:divBdr>
                      <w:divsChild>
                        <w:div w:id="64076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841495">
                  <w:marLeft w:val="0"/>
                  <w:marRight w:val="0"/>
                  <w:marTop w:val="0"/>
                  <w:marBottom w:val="0"/>
                  <w:divBdr>
                    <w:top w:val="none" w:sz="0" w:space="0" w:color="auto"/>
                    <w:left w:val="none" w:sz="0" w:space="0" w:color="auto"/>
                    <w:bottom w:val="none" w:sz="0" w:space="0" w:color="auto"/>
                    <w:right w:val="none" w:sz="0" w:space="0" w:color="auto"/>
                  </w:divBdr>
                  <w:divsChild>
                    <w:div w:id="1789396359">
                      <w:marLeft w:val="0"/>
                      <w:marRight w:val="0"/>
                      <w:marTop w:val="0"/>
                      <w:marBottom w:val="0"/>
                      <w:divBdr>
                        <w:top w:val="none" w:sz="0" w:space="0" w:color="auto"/>
                        <w:left w:val="none" w:sz="0" w:space="0" w:color="auto"/>
                        <w:bottom w:val="none" w:sz="0" w:space="0" w:color="auto"/>
                        <w:right w:val="none" w:sz="0" w:space="0" w:color="auto"/>
                      </w:divBdr>
                      <w:divsChild>
                        <w:div w:id="43864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193215">
                  <w:marLeft w:val="0"/>
                  <w:marRight w:val="0"/>
                  <w:marTop w:val="0"/>
                  <w:marBottom w:val="0"/>
                  <w:divBdr>
                    <w:top w:val="none" w:sz="0" w:space="0" w:color="auto"/>
                    <w:left w:val="none" w:sz="0" w:space="0" w:color="auto"/>
                    <w:bottom w:val="none" w:sz="0" w:space="0" w:color="auto"/>
                    <w:right w:val="none" w:sz="0" w:space="0" w:color="auto"/>
                  </w:divBdr>
                  <w:divsChild>
                    <w:div w:id="1141844318">
                      <w:marLeft w:val="0"/>
                      <w:marRight w:val="0"/>
                      <w:marTop w:val="0"/>
                      <w:marBottom w:val="0"/>
                      <w:divBdr>
                        <w:top w:val="none" w:sz="0" w:space="0" w:color="auto"/>
                        <w:left w:val="none" w:sz="0" w:space="0" w:color="auto"/>
                        <w:bottom w:val="none" w:sz="0" w:space="0" w:color="auto"/>
                        <w:right w:val="none" w:sz="0" w:space="0" w:color="auto"/>
                      </w:divBdr>
                      <w:divsChild>
                        <w:div w:id="2107996461">
                          <w:marLeft w:val="0"/>
                          <w:marRight w:val="0"/>
                          <w:marTop w:val="0"/>
                          <w:marBottom w:val="0"/>
                          <w:divBdr>
                            <w:top w:val="none" w:sz="0" w:space="0" w:color="auto"/>
                            <w:left w:val="none" w:sz="0" w:space="0" w:color="auto"/>
                            <w:bottom w:val="none" w:sz="0" w:space="0" w:color="auto"/>
                            <w:right w:val="none" w:sz="0" w:space="0" w:color="auto"/>
                          </w:divBdr>
                        </w:div>
                        <w:div w:id="169025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742625">
                  <w:marLeft w:val="0"/>
                  <w:marRight w:val="0"/>
                  <w:marTop w:val="0"/>
                  <w:marBottom w:val="0"/>
                  <w:divBdr>
                    <w:top w:val="none" w:sz="0" w:space="0" w:color="auto"/>
                    <w:left w:val="none" w:sz="0" w:space="0" w:color="auto"/>
                    <w:bottom w:val="none" w:sz="0" w:space="0" w:color="auto"/>
                    <w:right w:val="none" w:sz="0" w:space="0" w:color="auto"/>
                  </w:divBdr>
                  <w:divsChild>
                    <w:div w:id="1347559984">
                      <w:marLeft w:val="0"/>
                      <w:marRight w:val="0"/>
                      <w:marTop w:val="0"/>
                      <w:marBottom w:val="0"/>
                      <w:divBdr>
                        <w:top w:val="none" w:sz="0" w:space="0" w:color="auto"/>
                        <w:left w:val="none" w:sz="0" w:space="0" w:color="auto"/>
                        <w:bottom w:val="none" w:sz="0" w:space="0" w:color="auto"/>
                        <w:right w:val="none" w:sz="0" w:space="0" w:color="auto"/>
                      </w:divBdr>
                      <w:divsChild>
                        <w:div w:id="27021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8223869">
      <w:bodyDiv w:val="1"/>
      <w:marLeft w:val="0"/>
      <w:marRight w:val="0"/>
      <w:marTop w:val="0"/>
      <w:marBottom w:val="0"/>
      <w:divBdr>
        <w:top w:val="none" w:sz="0" w:space="0" w:color="auto"/>
        <w:left w:val="none" w:sz="0" w:space="0" w:color="auto"/>
        <w:bottom w:val="none" w:sz="0" w:space="0" w:color="auto"/>
        <w:right w:val="none" w:sz="0" w:space="0" w:color="auto"/>
      </w:divBdr>
      <w:divsChild>
        <w:div w:id="1332832791">
          <w:marLeft w:val="0"/>
          <w:marRight w:val="0"/>
          <w:marTop w:val="0"/>
          <w:marBottom w:val="0"/>
          <w:divBdr>
            <w:top w:val="none" w:sz="0" w:space="0" w:color="auto"/>
            <w:left w:val="none" w:sz="0" w:space="0" w:color="auto"/>
            <w:bottom w:val="none" w:sz="0" w:space="0" w:color="auto"/>
            <w:right w:val="none" w:sz="0" w:space="0" w:color="auto"/>
          </w:divBdr>
        </w:div>
        <w:div w:id="647907383">
          <w:marLeft w:val="0"/>
          <w:marRight w:val="0"/>
          <w:marTop w:val="0"/>
          <w:marBottom w:val="0"/>
          <w:divBdr>
            <w:top w:val="none" w:sz="0" w:space="0" w:color="auto"/>
            <w:left w:val="none" w:sz="0" w:space="0" w:color="auto"/>
            <w:bottom w:val="none" w:sz="0" w:space="0" w:color="auto"/>
            <w:right w:val="none" w:sz="0" w:space="0" w:color="auto"/>
          </w:divBdr>
          <w:divsChild>
            <w:div w:id="48420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hebuildingcodeforum.com/forum/threads/2024-irc-adds-prescriptive-edge-framing-rules-for-guard-posts.39148/" TargetMode="Externa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linkedin.com/pulse/leadership-boundaries-building-department-when-elected-jeff-remas-xjli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10166</TotalTime>
  <Pages>5</Pages>
  <Words>3905</Words>
  <Characters>22259</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Connecticut Code Chronicle</vt:lpstr>
    </vt:vector>
  </TitlesOfParts>
  <Company>Harwood Wallace Loomis</Company>
  <LinksUpToDate>false</LinksUpToDate>
  <CharactersWithSpaces>26112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Connecticut Code Chronicle</dc:title>
  <dc:subject>5,000 Square Foot Exemption</dc:subject>
  <dc:creator>Harwood W. Loomis</dc:creator>
  <cp:keywords>5,000 square foot, architects, engineers, exemption</cp:keywords>
  <dc:description>Volume X, Number 1_x000d_
May 2023</dc:description>
  <cp:lastModifiedBy>Harwood Loomis</cp:lastModifiedBy>
  <cp:revision>29</cp:revision>
  <cp:lastPrinted>2026-07-03T18:31:00Z</cp:lastPrinted>
  <dcterms:created xsi:type="dcterms:W3CDTF">2026-05-13T12:49:00Z</dcterms:created>
  <dcterms:modified xsi:type="dcterms:W3CDTF">2026-07-16T06:08:00Z</dcterms:modified>
</cp:coreProperties>
</file>