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rPr>
          <w:noProof/>
        </w:rPr>
        <w:drawing>
          <wp:inline distT="89535" distB="89535" distL="89535" distR="89535">
            <wp:extent cx="6103620" cy="8714740"/>
            <wp:effectExtent l="0" t="0" r="0" b="0"/>
            <wp:docPr id="1" name="Изображение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8"/>
                    <pic:cNvPicPr>
                      <a:picLocks noChangeAspect="1"/>
                      <a:extLst>
                        <a:ext uri="sm">
                          <sm:smNativeData xmlns:sm="sm" val="SMDATA_17_A3dgZ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IwlAACcNQAAjCUAAJw1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AAAAAAAAAAAAAAABC6///AAAAAAAAAAAb8///jCUAAJw1AAAAAAAAQuv//xvz//8oAAAACAAAAAEAAAABAAAAMAAAABQAAAAAAAAAAAD//wAAAQAAAP//AAABAA=="/>
                        </a:ext>
                      </a:extLst>
                    </pic:cNvPicPr>
                  </pic:nvPicPr>
                  <pic:blipFill>
                    <a:blip r:embed="rId8"/>
                    <a:stretch>
                      <a:fillRect/>
                    </a:stretch>
                  </pic:blipFill>
                  <pic:spPr>
                    <a:xfrm>
                      <a:off x="0" y="0"/>
                      <a:ext cx="6103620" cy="8714740"/>
                    </a:xfrm>
                    <a:prstGeom prst="rect">
                      <a:avLst/>
                    </a:prstGeom>
                    <a:noFill/>
                    <a:ln w="12700">
                      <a:noFill/>
                    </a:ln>
                  </pic:spPr>
                </pic:pic>
              </a:graphicData>
            </a:graphic>
          </wp:inline>
        </w:drawing>
      </w:r>
      <w:r/>
    </w:p>
    <w:p>
      <w:r/>
    </w:p>
    <w:p>
      <w:pPr>
        <w:spacing w:after="0" w:line="240" w:lineRule="auto"/>
        <w:jc w:val="center"/>
        <w:rPr>
          <w:rFonts w:ascii="Times New Roman" w:hAnsi="Times New Roman"/>
          <w:color w:val="000000"/>
          <w:sz w:val="24"/>
          <w:szCs w:val="24"/>
        </w:rPr>
      </w:pPr>
      <w:r>
        <w:br w:type="page"/>
      </w:r>
      <w:r>
        <w:rPr>
          <w:rFonts w:ascii="Times New Roman" w:hAnsi="Times New Roman"/>
          <w:color w:val="000000"/>
          <w:sz w:val="24"/>
          <w:szCs w:val="24"/>
        </w:rPr>
        <w:t>Министерство науки и высшего образования Российской Федерации</w:t>
        <w:br w:type="textWrapping"/>
        <w:t>Федеральное государственное бюджетное</w:t>
        <w:br w:type="textWrapping"/>
        <w:t>образовательное учреждение высшего образования</w:t>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ПЕТРОЗАВОДСКИЙ ГОСУДАРСТВЕННЫЙ УНИВЕРСИТЕТ</w:t>
      </w:r>
    </w:p>
    <w:p>
      <w:pPr>
        <w:pStyle w:val="para15"/>
        <w:spacing/>
        <w:jc w:val="center"/>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5"/>
        <w:spacing/>
        <w:jc w:val="center"/>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5"/>
        <w:spacing/>
        <w:jc w:val="center"/>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5"/>
        <w:spacing/>
        <w:jc w:val="center"/>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5"/>
        <w:spacing/>
        <w:jc w:val="center"/>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АКТУАЛЬНЫЕ ПРОБЛЕМЫ ПСИХОЛОГИИ</w:t>
      </w:r>
    </w:p>
    <w:p>
      <w:pPr>
        <w:spacing w:after="0" w:line="240" w:lineRule="auto"/>
        <w:jc w:val="center"/>
        <w:rPr>
          <w:rFonts w:ascii="Times New Roman" w:hAnsi="Times New Roman"/>
          <w:i/>
          <w:iCs/>
          <w:color w:val="000000"/>
          <w:sz w:val="24"/>
          <w:szCs w:val="24"/>
        </w:rPr>
      </w:pPr>
      <w:r>
        <w:rPr>
          <w:rFonts w:ascii="Times New Roman" w:hAnsi="Times New Roman"/>
          <w:i/>
          <w:iCs/>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i/>
          <w:iCs/>
          <w:color w:val="000000"/>
          <w:sz w:val="24"/>
          <w:szCs w:val="24"/>
        </w:rPr>
        <w:t>Сборник статей к 30-летнему юбилею кафедры психологии ПетрГУ</w:t>
      </w:r>
      <w:r>
        <w:rPr>
          <w:rFonts w:ascii="Times New Roman" w:hAnsi="Times New Roman"/>
          <w:color w:val="000000"/>
          <w:sz w:val="24"/>
          <w:szCs w:val="24"/>
        </w:rPr>
      </w:r>
    </w:p>
    <w:p>
      <w:pPr>
        <w:pStyle w:val="para15"/>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5"/>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5"/>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5"/>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5"/>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5"/>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5"/>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Петрозаводск</w:t>
        <w:br w:type="textWrapping"/>
        <w:t>Издательство ПетрГУ</w:t>
        <w:br w:type="textWrapping"/>
        <w:t>2023</w:t>
      </w:r>
    </w:p>
    <w:p>
      <w:pPr>
        <w:pStyle w:val="para15"/>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5"/>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5"/>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5"/>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5"/>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pStyle w:val="para15"/>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tbl>
      <w:tblPr>
        <w:tblStyle w:val="TableNormal"/>
        <w:name w:val="Таблица1"/>
        <w:tabOrder w:val="0"/>
        <w:jc w:val="right"/>
        <w:tblInd w:w="0" w:type="dxa"/>
        <w:tblW w:w="8470" w:type="dxa"/>
        <w:pPr>
          <w:spacing w:after="0" w:line="240" w:lineRule="auto"/>
          <w:jc w:val="right"/>
          <w:suppressAutoHyphens/>
          <w:hyphenationLines w:val="0"/>
          <w:widowControl w:val="0"/>
        </w:pPr>
        <w:tblLook w:val="04A0" w:firstRow="1" w:lastRow="0" w:firstColumn="1" w:lastColumn="0" w:noHBand="0" w:noVBand="1"/>
      </w:tblPr>
      <w:tblGrid>
        <w:gridCol w:w="2585"/>
        <w:gridCol w:w="5885"/>
      </w:tblGrid>
      <w:tr>
        <w:trPr>
          <w:tblHeader w:val="0"/>
          <w:trKeepWithNext w:val="0"/>
          <w:trBreak w:val="0"/>
          <w:cantSplit w:val="0"/>
          <w:trHeight w:val="0" w:hRule="auto"/>
        </w:trPr>
        <w:tc>
          <w:tcPr>
            <w:tcW w:w="2585" w:type="dxa"/>
            <w:tmTcPr id="1700820739" protected="0"/>
          </w:tcPr>
          <w:p>
            <w:pPr>
              <w:spacing w:after="0" w:line="240" w:lineRule="auto"/>
              <w:rPr>
                <w:rFonts w:ascii="Times New Roman" w:hAnsi="Times New Roman"/>
                <w:color w:val="000000"/>
              </w:rPr>
            </w:pPr>
            <w:r>
              <w:rPr>
                <w:rFonts w:ascii="Times New Roman" w:hAnsi="Times New Roman"/>
                <w:color w:val="000000"/>
                <w:lang w:val="en-us"/>
              </w:rPr>
              <w:t>ISBN</w:t>
            </w:r>
            <w:r>
              <w:rPr>
                <w:rFonts w:ascii="Times New Roman" w:hAnsi="Times New Roman"/>
                <w:color w:val="000000"/>
              </w:rPr>
              <w:t xml:space="preserve"> 978-5-8021-4158-8</w:t>
            </w:r>
          </w:p>
        </w:tc>
        <w:tc>
          <w:tcPr>
            <w:tcW w:w="5885" w:type="dxa"/>
            <w:tmTcPr id="1700820739" protected="0"/>
          </w:tcPr>
          <w:p>
            <w:pPr>
              <w:spacing w:after="0" w:line="240" w:lineRule="auto"/>
              <w:rPr>
                <w:rFonts w:ascii="Times New Roman" w:hAnsi="Times New Roman"/>
                <w:sz w:val="24"/>
                <w:szCs w:val="24"/>
              </w:rPr>
            </w:pPr>
            <w:r>
              <w:rPr>
                <w:rFonts w:ascii="Times New Roman" w:hAnsi="Times New Roman"/>
                <w:color w:val="000000"/>
                <w:sz w:val="24"/>
                <w:szCs w:val="24"/>
              </w:rPr>
              <w:t>© Петрозаводский государственный университет, 2023</w:t>
            </w:r>
            <w:r>
              <w:rPr>
                <w:rFonts w:ascii="Times New Roman" w:hAnsi="Times New Roman"/>
                <w:sz w:val="24"/>
                <w:szCs w:val="24"/>
              </w:rPr>
            </w:r>
          </w:p>
        </w:tc>
      </w:tr>
    </w:tbl>
    <w:p>
      <w:pPr>
        <w:pStyle w:val="para15"/>
        <w:spacing/>
        <w:jc w:val="both"/>
        <w:widowControl/>
        <w:rPr>
          <w:rFonts w:ascii="Times New Roman" w:hAnsi="Times New Roman" w:cs="Times New Roman"/>
          <w:b w:val="0"/>
          <w:color w:val="000000"/>
          <w:sz w:val="24"/>
          <w:szCs w:val="24"/>
        </w:rPr>
      </w:pPr>
      <w:r>
        <w:rPr>
          <w:rFonts w:ascii="Times New Roman" w:hAnsi="Times New Roman" w:cs="Times New Roman"/>
          <w:b w:val="0"/>
          <w:color w:val="000000"/>
          <w:sz w:val="24"/>
          <w:szCs w:val="24"/>
        </w:rPr>
      </w:r>
    </w:p>
    <w:p>
      <w:pPr>
        <w:spacing w:after="0" w:line="240" w:lineRule="auto"/>
        <w:rPr>
          <w:rFonts w:ascii="Times New Roman" w:hAnsi="Times New Roman"/>
          <w:color w:val="000000"/>
          <w:sz w:val="24"/>
          <w:szCs w:val="24"/>
        </w:rPr>
      </w:pPr>
      <w:r>
        <w:rPr>
          <w:rFonts w:ascii="Times New Roman" w:hAnsi="Times New Roman"/>
          <w:color w:val="000000"/>
          <w:sz w:val="24"/>
          <w:szCs w:val="24"/>
        </w:rPr>
      </w:r>
    </w:p>
    <w:p>
      <w:pPr>
        <w:spacing w:after="0" w:line="240" w:lineRule="auto"/>
        <w:jc w:val="both"/>
        <w:rPr>
          <w:rFonts w:ascii="Times New Roman" w:hAnsi="Times New Roman"/>
          <w:color w:val="000000"/>
          <w:sz w:val="24"/>
          <w:szCs w:val="24"/>
          <w:lang w:val="en-us"/>
        </w:rPr>
      </w:pPr>
      <w:r>
        <w:br w:type="page"/>
      </w:r>
      <w:r>
        <w:rPr>
          <w:rFonts w:ascii="Times New Roman" w:hAnsi="Times New Roman"/>
          <w:color w:val="000000"/>
          <w:sz w:val="24"/>
          <w:szCs w:val="24"/>
        </w:rPr>
        <w:t>УДК 15</w:t>
      </w:r>
      <w:r>
        <w:rPr>
          <w:rFonts w:ascii="Times New Roman" w:hAnsi="Times New Roman"/>
          <w:color w:val="000000"/>
          <w:sz w:val="24"/>
          <w:szCs w:val="24"/>
          <w:lang w:val="en-us"/>
        </w:rPr>
      </w:r>
    </w:p>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ББК 88</w:t>
      </w:r>
    </w:p>
    <w:p>
      <w:pPr>
        <w:spacing w:after="0" w:line="240" w:lineRule="auto"/>
        <w:rPr>
          <w:rFonts w:ascii="Times New Roman" w:hAnsi="Times New Roman"/>
          <w:sz w:val="24"/>
          <w:szCs w:val="24"/>
        </w:rPr>
      </w:pPr>
      <w:r>
        <w:rPr>
          <w:rFonts w:ascii="Times New Roman" w:hAnsi="Times New Roman"/>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Издается по решению редакционно-издательского совета</w:t>
        <w:br w:type="textWrapping"/>
        <w:t>Петрозаводского государственного университета</w:t>
      </w:r>
    </w:p>
    <w:p>
      <w:pPr>
        <w:spacing w:after="0" w:line="240" w:lineRule="auto"/>
        <w:jc w:val="center"/>
        <w:rPr>
          <w:rFonts w:ascii="Times New Roman" w:hAnsi="Times New Roman"/>
          <w:color w:val="000000"/>
          <w:spacing w:val="40" spc="86"/>
          <w:sz w:val="24"/>
          <w:szCs w:val="24"/>
        </w:rPr>
      </w:pPr>
      <w:r>
        <w:rPr>
          <w:rFonts w:ascii="Times New Roman" w:hAnsi="Times New Roman"/>
          <w:color w:val="000000"/>
          <w:spacing w:val="40" spc="86"/>
          <w:sz w:val="24"/>
          <w:szCs w:val="24"/>
        </w:rPr>
      </w:r>
    </w:p>
    <w:p>
      <w:pPr>
        <w:spacing w:after="0" w:line="240" w:lineRule="auto"/>
        <w:jc w:val="center"/>
        <w:rPr>
          <w:rFonts w:ascii="Times New Roman" w:hAnsi="Times New Roman"/>
          <w:color w:val="000000"/>
          <w:spacing w:val="40" spc="86"/>
          <w:sz w:val="24"/>
          <w:szCs w:val="24"/>
        </w:rPr>
      </w:pPr>
      <w:r>
        <w:rPr>
          <w:rFonts w:ascii="Times New Roman" w:hAnsi="Times New Roman"/>
          <w:color w:val="000000"/>
          <w:spacing w:val="40" spc="86"/>
          <w:sz w:val="24"/>
          <w:szCs w:val="24"/>
        </w:rPr>
        <w:t>Ответственный редактор и составитель:</w:t>
      </w:r>
    </w:p>
    <w:p>
      <w:pPr>
        <w:spacing w:after="0" w:line="240" w:lineRule="auto"/>
        <w:jc w:val="center"/>
        <w:rPr>
          <w:rFonts w:ascii="Times New Roman" w:hAnsi="Times New Roman"/>
          <w:color w:val="000000"/>
          <w:sz w:val="24"/>
          <w:szCs w:val="24"/>
        </w:rPr>
      </w:pPr>
      <w:r>
        <w:rPr>
          <w:rFonts w:ascii="Times New Roman" w:hAnsi="Times New Roman"/>
          <w:i/>
          <w:color w:val="000000"/>
          <w:sz w:val="24"/>
          <w:szCs w:val="24"/>
        </w:rPr>
        <w:t>В. Н. Колесников</w:t>
      </w:r>
      <w:r>
        <w:rPr>
          <w:rFonts w:ascii="Times New Roman" w:hAnsi="Times New Roman"/>
          <w:color w:val="000000"/>
          <w:sz w:val="24"/>
          <w:szCs w:val="24"/>
        </w:rPr>
        <w:t>, заместитель директора Института педагогики</w:t>
        <w:br w:type="textWrapping"/>
        <w:t>и психологии ПетрГУ по НИР, доцент кафедры психологии,</w:t>
        <w:br w:type="textWrapping"/>
        <w:t>кандидат психологических наук</w:t>
      </w: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pacing w:val="40" spc="86"/>
          <w:sz w:val="24"/>
          <w:szCs w:val="24"/>
        </w:rPr>
        <w:t>Рецензенты:</w:t>
        <w:br w:type="textWrapping"/>
      </w:r>
      <w:r>
        <w:rPr>
          <w:rFonts w:ascii="Times New Roman" w:hAnsi="Times New Roman"/>
          <w:i/>
          <w:iCs/>
          <w:color w:val="000000"/>
          <w:sz w:val="24"/>
          <w:szCs w:val="24"/>
        </w:rPr>
        <w:t>Н. О. Дементьева</w:t>
      </w:r>
      <w:r>
        <w:rPr>
          <w:rFonts w:ascii="Times New Roman" w:hAnsi="Times New Roman"/>
          <w:color w:val="000000"/>
          <w:sz w:val="24"/>
          <w:szCs w:val="24"/>
        </w:rPr>
        <w:t>, заведующий кафедрой психологии ИПП ПетрГУ,</w:t>
      </w: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кандидат психологических наук, доцент;</w:t>
      </w:r>
    </w:p>
    <w:p>
      <w:pPr>
        <w:spacing w:after="0" w:line="240" w:lineRule="auto"/>
        <w:jc w:val="center"/>
        <w:rPr>
          <w:rFonts w:ascii="Times New Roman" w:hAnsi="Times New Roman"/>
          <w:color w:val="000000"/>
          <w:sz w:val="24"/>
          <w:szCs w:val="24"/>
        </w:rPr>
      </w:pPr>
      <w:r>
        <w:rPr>
          <w:rFonts w:ascii="Times New Roman" w:hAnsi="Times New Roman"/>
          <w:bCs/>
          <w:i/>
          <w:color w:val="000000"/>
          <w:sz w:val="24"/>
          <w:szCs w:val="24"/>
        </w:rPr>
        <w:t>Н. А.</w:t>
      </w:r>
      <w:r>
        <w:rPr>
          <w:rFonts w:ascii="Times New Roman" w:hAnsi="Times New Roman"/>
          <w:i/>
          <w:color w:val="000000"/>
          <w:sz w:val="24"/>
          <w:szCs w:val="24"/>
        </w:rPr>
        <w:t> </w:t>
      </w:r>
      <w:r>
        <w:rPr>
          <w:rFonts w:ascii="Times New Roman" w:hAnsi="Times New Roman"/>
          <w:bCs/>
          <w:i/>
          <w:color w:val="000000"/>
          <w:sz w:val="24"/>
          <w:szCs w:val="24"/>
        </w:rPr>
        <w:t>Бурдюгова,</w:t>
      </w:r>
      <w:r>
        <w:rPr>
          <w:rFonts w:ascii="Times New Roman" w:hAnsi="Times New Roman"/>
          <w:b/>
          <w:bCs/>
          <w:color w:val="000000"/>
          <w:sz w:val="24"/>
          <w:szCs w:val="24"/>
        </w:rPr>
        <w:t xml:space="preserve"> </w:t>
      </w:r>
      <w:r>
        <w:rPr>
          <w:rFonts w:ascii="Times New Roman" w:hAnsi="Times New Roman"/>
          <w:bCs/>
          <w:color w:val="000000"/>
          <w:sz w:val="24"/>
          <w:szCs w:val="24"/>
        </w:rPr>
        <w:t xml:space="preserve">учитель, методист </w:t>
      </w:r>
      <w:r>
        <w:rPr>
          <w:rFonts w:ascii="Times New Roman" w:hAnsi="Times New Roman"/>
          <w:color w:val="000000"/>
          <w:sz w:val="24"/>
          <w:szCs w:val="24"/>
        </w:rPr>
        <w:t>МБОУ СОШ № 27 c углубленным изучением</w:t>
        <w:br w:type="textWrapping"/>
        <w:t>отдельных предметов, кандидат педагогических наук, доцент</w:t>
      </w: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2"/>
        <w:tabOrder w:val="0"/>
        <w:jc w:val="center"/>
        <w:tblInd w:w="0" w:type="dxa"/>
        <w:tblW w:w="9639" w:type="dxa"/>
        <w:pPr>
          <w:spacing w:after="0" w:line="240" w:lineRule="auto"/>
          <w:jc w:val="center"/>
          <w:suppressAutoHyphens/>
          <w:hyphenationLines w:val="0"/>
          <w:widowControl w:val="0"/>
        </w:pPr>
        <w:tblLook w:val="04A0" w:firstRow="1" w:lastRow="0" w:firstColumn="1" w:lastColumn="0" w:noHBand="0" w:noVBand="1"/>
      </w:tblPr>
      <w:tblGrid>
        <w:gridCol w:w="852"/>
        <w:gridCol w:w="8787"/>
      </w:tblGrid>
      <w:tr>
        <w:trPr>
          <w:tblHeader w:val="0"/>
          <w:trKeepWithNext w:val="0"/>
          <w:trBreak w:val="0"/>
          <w:cantSplit w:val="0"/>
          <w:trHeight w:val="0" w:hRule="auto"/>
        </w:trPr>
        <w:tc>
          <w:tcPr>
            <w:tcW w:w="852" w:type="dxa"/>
            <w:tmTcPr id="1700820739" protected="0"/>
          </w:tcPr>
          <w:p>
            <w:pPr>
              <w:spacing w:after="0" w:line="240" w:lineRule="auto"/>
              <w:rPr>
                <w:rFonts w:ascii="Times New Roman" w:hAnsi="Times New Roman"/>
                <w:sz w:val="24"/>
                <w:szCs w:val="24"/>
              </w:rPr>
            </w:pPr>
            <w:r>
              <w:rPr>
                <w:rFonts w:ascii="Times New Roman" w:hAnsi="Times New Roman"/>
                <w:color w:val="000000"/>
                <w:sz w:val="24"/>
                <w:szCs w:val="24"/>
              </w:rPr>
              <w:t>А437</w:t>
            </w:r>
            <w:r>
              <w:rPr>
                <w:rFonts w:ascii="Times New Roman" w:hAnsi="Times New Roman"/>
                <w:sz w:val="24"/>
                <w:szCs w:val="24"/>
              </w:rPr>
            </w:r>
          </w:p>
        </w:tc>
        <w:tc>
          <w:tcPr>
            <w:tcW w:w="8787" w:type="dxa"/>
            <w:tmTcPr id="1700820739" protected="0"/>
          </w:tcPr>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Актуальные проблемы психологии</w:t>
            </w:r>
            <w:r>
              <w:rPr>
                <w:rFonts w:ascii="Times New Roman" w:hAnsi="Times New Roman"/>
                <w:color w:val="000000"/>
                <w:sz w:val="24"/>
                <w:szCs w:val="24"/>
              </w:rPr>
              <w:t xml:space="preserve"> : сборник статей к 30-летнему юбилею кафедры психологии ПетрГУ / отв. ред. и сост. В. Н. Колесников ; </w:t>
            </w:r>
            <w:r>
              <w:rPr>
                <w:rFonts w:ascii="Times New Roman" w:hAnsi="Times New Roman"/>
                <w:sz w:val="24"/>
                <w:szCs w:val="24"/>
              </w:rPr>
              <w:t>М-во науки и высш. образования Рос. Федерации, Федер. гос. бюджет. образоват. учреждение высш. образования Петрозав. гос. ун-т</w:t>
            </w:r>
            <w:r>
              <w:rPr>
                <w:rFonts w:ascii="Times New Roman" w:hAnsi="Times New Roman"/>
                <w:color w:val="000000"/>
                <w:sz w:val="24"/>
                <w:szCs w:val="24"/>
              </w:rPr>
              <w:t xml:space="preserve">. — </w:t>
            </w:r>
            <w:r>
              <w:rPr>
                <w:rFonts w:ascii="Times New Roman" w:hAnsi="Times New Roman"/>
                <w:color w:val="000000"/>
                <w:sz w:val="24"/>
                <w:szCs w:val="24"/>
              </w:rPr>
              <w:t>Петрозаводск :</w:t>
            </w:r>
            <w:r>
              <w:rPr>
                <w:rFonts w:ascii="Times New Roman" w:hAnsi="Times New Roman"/>
                <w:color w:val="000000"/>
                <w:sz w:val="24"/>
                <w:szCs w:val="24"/>
              </w:rPr>
              <w:t xml:space="preserve"> Издательство ПетрГУ, 2023. — 1 </w:t>
            </w:r>
            <w:r>
              <w:rPr>
                <w:rFonts w:ascii="Times New Roman" w:hAnsi="Times New Roman"/>
                <w:color w:val="000000"/>
                <w:sz w:val="24"/>
                <w:szCs w:val="24"/>
                <w:lang w:val="en-us"/>
              </w:rPr>
              <w:t>CD</w:t>
            </w:r>
            <w:r>
              <w:rPr>
                <w:rFonts w:ascii="Times New Roman" w:hAnsi="Times New Roman"/>
                <w:color w:val="000000"/>
                <w:sz w:val="24"/>
                <w:szCs w:val="24"/>
              </w:rPr>
              <w:t>-</w:t>
            </w:r>
            <w:r>
              <w:rPr>
                <w:rFonts w:ascii="Times New Roman" w:hAnsi="Times New Roman"/>
                <w:color w:val="000000"/>
                <w:sz w:val="24"/>
                <w:szCs w:val="24"/>
                <w:lang w:val="en-us"/>
              </w:rPr>
              <w:t>ROM</w:t>
            </w:r>
            <w:r>
              <w:rPr>
                <w:rFonts w:ascii="Times New Roman" w:hAnsi="Times New Roman"/>
                <w:color w:val="000000"/>
                <w:sz w:val="24"/>
                <w:szCs w:val="24"/>
              </w:rPr>
              <w:t xml:space="preserve">. — Систем. </w:t>
            </w:r>
            <w:r>
              <w:rPr>
                <w:rFonts w:ascii="Times New Roman" w:hAnsi="Times New Roman"/>
                <w:color w:val="000000"/>
                <w:sz w:val="24"/>
                <w:szCs w:val="24"/>
              </w:rPr>
              <w:t>требования :</w:t>
            </w:r>
            <w:r>
              <w:rPr>
                <w:rFonts w:ascii="Times New Roman" w:hAnsi="Times New Roman"/>
                <w:color w:val="000000"/>
                <w:sz w:val="24"/>
                <w:szCs w:val="24"/>
              </w:rPr>
              <w:t xml:space="preserve"> РС, МАС с процессором </w:t>
            </w:r>
            <w:r>
              <w:rPr>
                <w:rFonts w:ascii="Times New Roman" w:hAnsi="Times New Roman"/>
                <w:color w:val="000000"/>
                <w:sz w:val="24"/>
                <w:szCs w:val="24"/>
                <w:lang w:val="en-us"/>
              </w:rPr>
              <w:t>Intel</w:t>
            </w:r>
            <w:r>
              <w:rPr>
                <w:rFonts w:ascii="Times New Roman" w:hAnsi="Times New Roman"/>
                <w:color w:val="000000"/>
                <w:sz w:val="24"/>
                <w:szCs w:val="24"/>
              </w:rPr>
              <w:t xml:space="preserve"> 1,3 ГГц и выше ; </w:t>
            </w:r>
            <w:r>
              <w:rPr>
                <w:rFonts w:ascii="Times New Roman" w:hAnsi="Times New Roman"/>
                <w:color w:val="000000"/>
                <w:sz w:val="24"/>
                <w:szCs w:val="24"/>
                <w:lang w:val="en-us"/>
              </w:rPr>
              <w:t>Microsoft</w:t>
            </w:r>
            <w:r>
              <w:rPr>
                <w:rFonts w:ascii="Times New Roman" w:hAnsi="Times New Roman"/>
                <w:color w:val="000000"/>
                <w:sz w:val="24"/>
                <w:szCs w:val="24"/>
              </w:rPr>
              <w:t xml:space="preserve"> </w:t>
            </w:r>
            <w:r>
              <w:rPr>
                <w:rFonts w:ascii="Times New Roman" w:hAnsi="Times New Roman"/>
                <w:color w:val="000000"/>
                <w:sz w:val="24"/>
                <w:szCs w:val="24"/>
                <w:lang w:val="en-us"/>
              </w:rPr>
              <w:t>Windows</w:t>
            </w:r>
            <w:r>
              <w:rPr>
                <w:rFonts w:ascii="Times New Roman" w:hAnsi="Times New Roman"/>
                <w:color w:val="000000"/>
                <w:sz w:val="24"/>
                <w:szCs w:val="24"/>
              </w:rPr>
              <w:t xml:space="preserve">, </w:t>
            </w:r>
            <w:r>
              <w:rPr>
                <w:rFonts w:ascii="Times New Roman" w:hAnsi="Times New Roman"/>
                <w:color w:val="000000"/>
                <w:sz w:val="24"/>
                <w:szCs w:val="24"/>
                <w:lang w:val="en-us"/>
              </w:rPr>
              <w:t>MAC</w:t>
            </w:r>
            <w:r>
              <w:rPr>
                <w:rFonts w:ascii="Times New Roman" w:hAnsi="Times New Roman"/>
                <w:color w:val="000000"/>
                <w:sz w:val="24"/>
                <w:szCs w:val="24"/>
              </w:rPr>
              <w:t xml:space="preserve"> </w:t>
            </w:r>
            <w:r>
              <w:rPr>
                <w:rFonts w:ascii="Times New Roman" w:hAnsi="Times New Roman"/>
                <w:color w:val="000000"/>
                <w:sz w:val="24"/>
                <w:szCs w:val="24"/>
                <w:lang w:val="en-us"/>
              </w:rPr>
              <w:t>OSX </w:t>
            </w:r>
            <w:r>
              <w:rPr>
                <w:rFonts w:ascii="Times New Roman" w:hAnsi="Times New Roman"/>
                <w:color w:val="000000"/>
                <w:sz w:val="24"/>
                <w:szCs w:val="24"/>
              </w:rPr>
              <w:t>; 256</w:t>
            </w:r>
            <w:r>
              <w:rPr>
                <w:rFonts w:ascii="Times New Roman" w:hAnsi="Times New Roman"/>
                <w:color w:val="000000"/>
                <w:sz w:val="24"/>
                <w:szCs w:val="24"/>
                <w:lang w:val="en-us"/>
              </w:rPr>
              <w:t> </w:t>
            </w:r>
            <w:r>
              <w:rPr>
                <w:rFonts w:ascii="Times New Roman" w:hAnsi="Times New Roman"/>
                <w:color w:val="000000"/>
                <w:sz w:val="24"/>
                <w:szCs w:val="24"/>
              </w:rPr>
              <w:t>Мб (</w:t>
            </w:r>
            <w:r>
              <w:rPr>
                <w:rFonts w:ascii="Times New Roman" w:hAnsi="Times New Roman"/>
                <w:color w:val="000000"/>
                <w:sz w:val="24"/>
                <w:szCs w:val="24"/>
                <w:lang w:val="en-us"/>
              </w:rPr>
              <w:t>RAM</w:t>
            </w:r>
            <w:r>
              <w:rPr>
                <w:rFonts w:ascii="Times New Roman" w:hAnsi="Times New Roman"/>
                <w:color w:val="000000"/>
                <w:sz w:val="24"/>
                <w:szCs w:val="24"/>
              </w:rPr>
              <w:t xml:space="preserve">); </w:t>
            </w:r>
            <w:r>
              <w:rPr>
                <w:rFonts w:ascii="Times New Roman" w:hAnsi="Times New Roman"/>
                <w:color w:val="000000"/>
                <w:sz w:val="24"/>
                <w:szCs w:val="24"/>
                <w:lang w:val="en-us"/>
              </w:rPr>
              <w:t>Adobe</w:t>
            </w:r>
            <w:r>
              <w:rPr>
                <w:rFonts w:ascii="Times New Roman" w:hAnsi="Times New Roman"/>
                <w:color w:val="000000"/>
                <w:sz w:val="24"/>
                <w:szCs w:val="24"/>
              </w:rPr>
              <w:t xml:space="preserve"> </w:t>
            </w:r>
            <w:r>
              <w:rPr>
                <w:rFonts w:ascii="Times New Roman" w:hAnsi="Times New Roman"/>
                <w:color w:val="000000"/>
                <w:sz w:val="24"/>
                <w:szCs w:val="24"/>
                <w:lang w:val="en-us"/>
              </w:rPr>
              <w:t>Reader </w:t>
            </w:r>
            <w:r>
              <w:rPr>
                <w:rFonts w:ascii="Times New Roman" w:hAnsi="Times New Roman"/>
                <w:color w:val="000000"/>
                <w:sz w:val="24"/>
                <w:szCs w:val="24"/>
              </w:rPr>
              <w:t xml:space="preserve">; дисковод </w:t>
            </w:r>
            <w:r>
              <w:rPr>
                <w:rFonts w:ascii="Times New Roman" w:hAnsi="Times New Roman"/>
                <w:color w:val="000000"/>
                <w:sz w:val="24"/>
                <w:szCs w:val="24"/>
                <w:lang w:val="en-us"/>
              </w:rPr>
              <w:t>CD</w:t>
            </w:r>
            <w:r>
              <w:rPr>
                <w:rFonts w:ascii="Times New Roman" w:hAnsi="Times New Roman"/>
                <w:color w:val="000000"/>
                <w:sz w:val="24"/>
                <w:szCs w:val="24"/>
              </w:rPr>
              <w:t>-</w:t>
            </w:r>
            <w:r>
              <w:rPr>
                <w:rFonts w:ascii="Times New Roman" w:hAnsi="Times New Roman"/>
                <w:color w:val="000000"/>
                <w:sz w:val="24"/>
                <w:szCs w:val="24"/>
                <w:lang w:val="en-us"/>
              </w:rPr>
              <w:t>ROM</w:t>
            </w:r>
            <w:r>
              <w:rPr>
                <w:rFonts w:ascii="Times New Roman" w:hAnsi="Times New Roman"/>
                <w:color w:val="000000"/>
                <w:sz w:val="24"/>
                <w:szCs w:val="24"/>
              </w:rPr>
              <w:t xml:space="preserve">. — </w:t>
            </w:r>
            <w:r>
              <w:rPr>
                <w:rFonts w:ascii="Times New Roman" w:hAnsi="Times New Roman"/>
                <w:color w:val="000000"/>
                <w:sz w:val="24"/>
                <w:szCs w:val="24"/>
              </w:rPr>
              <w:t>Загл</w:t>
            </w:r>
            <w:r>
              <w:rPr>
                <w:rFonts w:ascii="Times New Roman" w:hAnsi="Times New Roman"/>
                <w:color w:val="000000"/>
                <w:sz w:val="24"/>
                <w:szCs w:val="24"/>
              </w:rPr>
              <w:t xml:space="preserve">. с титул. экрана. — </w:t>
            </w:r>
            <w:r>
              <w:rPr>
                <w:rFonts w:ascii="Times New Roman" w:hAnsi="Times New Roman"/>
                <w:color w:val="000000"/>
                <w:sz w:val="24"/>
                <w:szCs w:val="24"/>
              </w:rPr>
              <w:t>Текст :</w:t>
            </w:r>
            <w:r>
              <w:rPr>
                <w:rFonts w:ascii="Times New Roman" w:hAnsi="Times New Roman"/>
                <w:color w:val="000000"/>
                <w:sz w:val="24"/>
                <w:szCs w:val="24"/>
              </w:rPr>
              <w:t xml:space="preserve"> электронный.</w:t>
            </w:r>
            <w:r>
              <w:rPr>
                <w:rFonts w:ascii="Times New Roman" w:hAnsi="Times New Roman"/>
                <w:color w:val="000000"/>
                <w:sz w:val="24"/>
                <w:szCs w:val="24"/>
              </w:rPr>
            </w:r>
          </w:p>
        </w:tc>
      </w:tr>
    </w:tbl>
    <w:p>
      <w:pPr>
        <w:ind w:left="708" w:firstLine="708"/>
        <w:spacing w:before="120" w:after="0" w:line="240" w:lineRule="auto"/>
        <w:rPr>
          <w:rFonts w:ascii="Times New Roman" w:hAnsi="Times New Roman"/>
          <w:color w:val="000000"/>
          <w:sz w:val="24"/>
          <w:szCs w:val="24"/>
        </w:rPr>
      </w:pPr>
      <w:r>
        <w:rPr>
          <w:rFonts w:ascii="Times New Roman" w:hAnsi="Times New Roman"/>
          <w:color w:val="000000"/>
          <w:sz w:val="24"/>
          <w:szCs w:val="24"/>
          <w:lang w:val="en-us"/>
        </w:rPr>
        <w:t>ISBN</w:t>
      </w:r>
      <w:r>
        <w:rPr>
          <w:rFonts w:ascii="Times New Roman" w:hAnsi="Times New Roman"/>
          <w:color w:val="000000"/>
          <w:sz w:val="24"/>
          <w:szCs w:val="24"/>
        </w:rPr>
        <w:t xml:space="preserve"> 978-5-8021-4158-8</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На протяжении 30 лет кафедра психологии Института педагогики и психологии Петрозаводского государственного университета ведет обучение студентов по направлениям подготовки психологов разных уровней высшего образования. В юбилейный сборник вошли статьи преподавателей кафедры психологии, выпускников кафедры, других специалистов, сотрудничающих с кафедрой.</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Издание адресовано специалистам, профессиональная деятельность которых имеет отношение к развитию психологической науки, психологам-практикам, студентам, изучающим психологические дисциплины.</w:t>
      </w:r>
    </w:p>
    <w:p>
      <w:pPr>
        <w:spacing w:after="0" w:line="240" w:lineRule="auto"/>
        <w:jc w:val="right"/>
        <w:rPr>
          <w:rFonts w:ascii="Times New Roman" w:hAnsi="Times New Roman"/>
          <w:color w:val="000000"/>
          <w:sz w:val="24"/>
          <w:szCs w:val="24"/>
        </w:rPr>
      </w:pPr>
      <w:r>
        <w:rPr>
          <w:rFonts w:ascii="Times New Roman" w:hAnsi="Times New Roman"/>
          <w:color w:val="000000"/>
          <w:sz w:val="24"/>
          <w:szCs w:val="24"/>
        </w:rPr>
        <w:t>УДК 15</w:t>
      </w:r>
    </w:p>
    <w:p>
      <w:pPr>
        <w:spacing w:after="0" w:line="240" w:lineRule="auto"/>
        <w:jc w:val="right"/>
        <w:rPr>
          <w:rFonts w:ascii="Times New Roman" w:hAnsi="Times New Roman"/>
          <w:color w:val="000000"/>
          <w:sz w:val="24"/>
          <w:szCs w:val="24"/>
        </w:rPr>
      </w:pPr>
      <w:r>
        <w:rPr>
          <w:rFonts w:ascii="Times New Roman" w:hAnsi="Times New Roman"/>
          <w:color w:val="000000"/>
          <w:sz w:val="24"/>
          <w:szCs w:val="24"/>
        </w:rPr>
        <w:t>ББК 88</w:t>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Учебное электронное издание</w:t>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Минимальные системные требования</w:t>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РС, МАС с процессором </w:t>
      </w:r>
      <w:r>
        <w:rPr>
          <w:rFonts w:ascii="Times New Roman" w:hAnsi="Times New Roman"/>
          <w:color w:val="000000"/>
          <w:sz w:val="24"/>
          <w:szCs w:val="24"/>
          <w:lang w:val="en-us"/>
        </w:rPr>
        <w:t>Intel</w:t>
      </w:r>
      <w:r>
        <w:rPr>
          <w:rFonts w:ascii="Times New Roman" w:hAnsi="Times New Roman"/>
          <w:color w:val="000000"/>
          <w:sz w:val="24"/>
          <w:szCs w:val="24"/>
        </w:rPr>
        <w:t xml:space="preserve"> 1,3 ГГц и выше; </w:t>
      </w:r>
      <w:r>
        <w:rPr>
          <w:rFonts w:ascii="Times New Roman" w:hAnsi="Times New Roman"/>
          <w:color w:val="000000"/>
          <w:sz w:val="24"/>
          <w:szCs w:val="24"/>
          <w:lang w:val="en-us"/>
        </w:rPr>
        <w:t>Microsoft</w:t>
      </w:r>
      <w:r>
        <w:rPr>
          <w:rFonts w:ascii="Times New Roman" w:hAnsi="Times New Roman"/>
          <w:color w:val="000000"/>
          <w:sz w:val="24"/>
          <w:szCs w:val="24"/>
        </w:rPr>
        <w:t xml:space="preserve"> </w:t>
      </w:r>
      <w:r>
        <w:rPr>
          <w:rFonts w:ascii="Times New Roman" w:hAnsi="Times New Roman"/>
          <w:color w:val="000000"/>
          <w:sz w:val="24"/>
          <w:szCs w:val="24"/>
          <w:lang w:val="en-us"/>
        </w:rPr>
        <w:t>Windows</w:t>
      </w:r>
      <w:r>
        <w:rPr>
          <w:rFonts w:ascii="Times New Roman" w:hAnsi="Times New Roman"/>
          <w:color w:val="000000"/>
          <w:sz w:val="24"/>
          <w:szCs w:val="24"/>
        </w:rPr>
        <w:t>,</w:t>
        <w:br w:type="textWrapping"/>
      </w:r>
      <w:r>
        <w:rPr>
          <w:rFonts w:ascii="Times New Roman" w:hAnsi="Times New Roman"/>
          <w:color w:val="000000"/>
          <w:sz w:val="24"/>
          <w:szCs w:val="24"/>
          <w:lang w:val="en-us"/>
        </w:rPr>
        <w:t>MAC</w:t>
      </w:r>
      <w:r>
        <w:rPr>
          <w:rFonts w:ascii="Times New Roman" w:hAnsi="Times New Roman"/>
          <w:color w:val="000000"/>
          <w:sz w:val="24"/>
          <w:szCs w:val="24"/>
        </w:rPr>
        <w:t xml:space="preserve"> </w:t>
      </w:r>
      <w:r>
        <w:rPr>
          <w:rFonts w:ascii="Times New Roman" w:hAnsi="Times New Roman"/>
          <w:color w:val="000000"/>
          <w:sz w:val="24"/>
          <w:szCs w:val="24"/>
          <w:lang w:val="en-us"/>
        </w:rPr>
        <w:t>OSX</w:t>
      </w:r>
      <w:r>
        <w:rPr>
          <w:rFonts w:ascii="Times New Roman" w:hAnsi="Times New Roman"/>
          <w:color w:val="000000"/>
          <w:sz w:val="24"/>
          <w:szCs w:val="24"/>
        </w:rPr>
        <w:t>; 256</w:t>
      </w:r>
      <w:r>
        <w:rPr>
          <w:rFonts w:ascii="Times New Roman" w:hAnsi="Times New Roman"/>
          <w:color w:val="000000"/>
          <w:sz w:val="24"/>
          <w:szCs w:val="24"/>
          <w:lang w:val="en-us"/>
        </w:rPr>
        <w:t> </w:t>
      </w:r>
      <w:r>
        <w:rPr>
          <w:rFonts w:ascii="Times New Roman" w:hAnsi="Times New Roman"/>
          <w:color w:val="000000"/>
          <w:sz w:val="24"/>
          <w:szCs w:val="24"/>
        </w:rPr>
        <w:t>Мб (</w:t>
      </w:r>
      <w:r>
        <w:rPr>
          <w:rFonts w:ascii="Times New Roman" w:hAnsi="Times New Roman"/>
          <w:color w:val="000000"/>
          <w:sz w:val="24"/>
          <w:szCs w:val="24"/>
          <w:lang w:val="en-us"/>
        </w:rPr>
        <w:t>RAM</w:t>
      </w:r>
      <w:r>
        <w:rPr>
          <w:rFonts w:ascii="Times New Roman" w:hAnsi="Times New Roman"/>
          <w:color w:val="000000"/>
          <w:sz w:val="24"/>
          <w:szCs w:val="24"/>
        </w:rPr>
        <w:t xml:space="preserve">); </w:t>
      </w:r>
      <w:r>
        <w:rPr>
          <w:rFonts w:ascii="Times New Roman" w:hAnsi="Times New Roman"/>
          <w:color w:val="000000"/>
          <w:sz w:val="24"/>
          <w:szCs w:val="24"/>
          <w:lang w:val="en-us"/>
        </w:rPr>
        <w:t>Adobe</w:t>
      </w:r>
      <w:r>
        <w:rPr>
          <w:rFonts w:ascii="Times New Roman" w:hAnsi="Times New Roman"/>
          <w:color w:val="000000"/>
          <w:sz w:val="24"/>
          <w:szCs w:val="24"/>
        </w:rPr>
        <w:t xml:space="preserve"> </w:t>
      </w:r>
      <w:r>
        <w:rPr>
          <w:rFonts w:ascii="Times New Roman" w:hAnsi="Times New Roman"/>
          <w:color w:val="000000"/>
          <w:sz w:val="24"/>
          <w:szCs w:val="24"/>
          <w:lang w:val="en-us"/>
        </w:rPr>
        <w:t>Reader</w:t>
      </w:r>
      <w:r>
        <w:rPr>
          <w:rFonts w:ascii="Times New Roman" w:hAnsi="Times New Roman"/>
          <w:color w:val="000000"/>
          <w:sz w:val="24"/>
          <w:szCs w:val="24"/>
        </w:rPr>
        <w:t xml:space="preserve">; дисковод </w:t>
      </w:r>
      <w:r>
        <w:rPr>
          <w:rFonts w:ascii="Times New Roman" w:hAnsi="Times New Roman"/>
          <w:color w:val="000000"/>
          <w:sz w:val="24"/>
          <w:szCs w:val="24"/>
          <w:lang w:val="en-us"/>
        </w:rPr>
        <w:t>CD</w:t>
      </w:r>
      <w:r>
        <w:rPr>
          <w:rFonts w:ascii="Times New Roman" w:hAnsi="Times New Roman"/>
          <w:color w:val="000000"/>
          <w:sz w:val="24"/>
          <w:szCs w:val="24"/>
        </w:rPr>
        <w:t>-</w:t>
      </w:r>
      <w:r>
        <w:rPr>
          <w:rFonts w:ascii="Times New Roman" w:hAnsi="Times New Roman"/>
          <w:color w:val="000000"/>
          <w:sz w:val="24"/>
          <w:szCs w:val="24"/>
          <w:lang w:val="en-us"/>
        </w:rPr>
        <w:t>ROM</w:t>
      </w:r>
      <w:r>
        <w:rPr>
          <w:rFonts w:ascii="Times New Roman" w:hAnsi="Times New Roman"/>
          <w:color w:val="000000"/>
          <w:sz w:val="24"/>
          <w:szCs w:val="24"/>
        </w:rPr>
      </w:r>
    </w:p>
    <w:p>
      <w:pPr>
        <w:spacing w:after="0" w:line="240" w:lineRule="auto"/>
        <w:rPr>
          <w:rFonts w:ascii="Times New Roman" w:hAnsi="Times New Roman"/>
          <w:color w:val="000000"/>
          <w:sz w:val="24"/>
          <w:szCs w:val="24"/>
        </w:rPr>
      </w:pPr>
      <w:r>
        <w:rPr>
          <w:rFonts w:ascii="Times New Roman" w:hAnsi="Times New Roman"/>
          <w:color w:val="000000"/>
          <w:sz w:val="24"/>
          <w:szCs w:val="24"/>
        </w:rPr>
      </w:r>
    </w:p>
    <w:p>
      <w:pPr>
        <w:spacing w:after="0" w:line="240" w:lineRule="auto"/>
        <w:rPr>
          <w:rFonts w:ascii="Times New Roman" w:hAnsi="Times New Roman"/>
          <w:color w:val="000000"/>
          <w:sz w:val="24"/>
          <w:szCs w:val="24"/>
        </w:rPr>
      </w:pPr>
      <w:r>
        <w:rPr>
          <w:rFonts w:ascii="Times New Roman" w:hAnsi="Times New Roman"/>
          <w:color w:val="000000"/>
          <w:sz w:val="24"/>
          <w:szCs w:val="24"/>
        </w:rPr>
      </w:r>
    </w:p>
    <w:p>
      <w:pPr>
        <w:spacing w:after="0" w:line="240" w:lineRule="auto"/>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3"/>
        <w:tabOrder w:val="0"/>
        <w:jc w:val="right"/>
        <w:tblInd w:w="0" w:type="dxa"/>
        <w:tblW w:w="6202" w:type="dxa"/>
        <w:pPr>
          <w:spacing w:after="0" w:line="240" w:lineRule="auto"/>
          <w:jc w:val="right"/>
          <w:suppressAutoHyphens/>
          <w:hyphenationLines w:val="0"/>
          <w:widowControl w:val="0"/>
        </w:pPr>
        <w:tblLook w:val="04A0" w:firstRow="1" w:lastRow="0" w:firstColumn="1" w:lastColumn="0" w:noHBand="0" w:noVBand="1"/>
      </w:tblPr>
      <w:tblGrid>
        <w:gridCol w:w="6202"/>
      </w:tblGrid>
      <w:tr>
        <w:trPr>
          <w:tblHeader w:val="0"/>
          <w:trKeepWithNext w:val="0"/>
          <w:trBreak w:val="0"/>
          <w:cantSplit w:val="0"/>
          <w:trHeight w:val="0" w:hRule="auto"/>
        </w:trPr>
        <w:tc>
          <w:tcPr>
            <w:tcW w:w="6202" w:type="dxa"/>
            <w:tmTcPr id="1700820739" protected="0"/>
          </w:tcPr>
          <w:p>
            <w:pPr>
              <w:spacing w:after="0" w:line="240" w:lineRule="auto"/>
              <w:jc w:val="right"/>
              <w:rPr>
                <w:rFonts w:ascii="Times New Roman" w:hAnsi="Times New Roman"/>
                <w:sz w:val="24"/>
                <w:szCs w:val="24"/>
              </w:rPr>
            </w:pPr>
            <w:r>
              <w:rPr>
                <w:rFonts w:ascii="Times New Roman" w:hAnsi="Times New Roman"/>
                <w:color w:val="000000"/>
                <w:sz w:val="24"/>
                <w:szCs w:val="24"/>
              </w:rPr>
              <w:t>© Петрозаводский государственный университет, 2023</w:t>
            </w:r>
            <w:r>
              <w:rPr>
                <w:rFonts w:ascii="Times New Roman" w:hAnsi="Times New Roman"/>
                <w:sz w:val="24"/>
                <w:szCs w:val="24"/>
              </w:rPr>
            </w:r>
          </w:p>
        </w:tc>
      </w:tr>
    </w:tbl>
    <w:p>
      <w:pPr>
        <w:pStyle w:val="para16"/>
      </w:pPr>
      <w:r>
        <w:br w:type="page"/>
      </w:r>
      <w:bookmarkStart w:id="0" w:name="_Оглавление000002"/>
      <w:r>
        <w:t>СОДЕРЖАНИЕ</w:t>
      </w:r>
      <w:bookmarkEnd w:id="0"/>
      <w:r/>
    </w:p>
    <w:p>
      <w:pPr>
        <w:pStyle w:val="para18"/>
        <w:tabs defTabSz="708">
          <w:tab w:val="right" w:pos="9638" w:leader="dot"/>
        </w:tabs>
      </w:pPr>
      <w:r/>
    </w:p>
    <w:p>
      <w:pPr>
        <w:pStyle w:val="para18"/>
        <w:spacing w:line="360" w:lineRule="auto"/>
        <w:tabs defTabSz="708">
          <w:tab w:val="right" w:pos="9638" w:leader="dot"/>
        </w:tabs>
        <w:rPr>
          <w:rFonts w:ascii="Times New Roman" w:hAnsi="Times New Roman" w:eastAsia="Times New Roman"/>
        </w:rPr>
      </w:pPr>
      <w:r>
        <w:rPr>
          <w:rFonts w:ascii="Times New Roman" w:hAnsi="Times New Roman" w:eastAsia="Times New Roman"/>
        </w:rPr>
        <w:fldChar w:fldCharType="begin"/>
      </w:r>
      <w:r>
        <w:rPr>
          <w:rFonts w:ascii="Times New Roman" w:hAnsi="Times New Roman" w:eastAsia="Times New Roman"/>
        </w:rPr>
        <w:instrText xml:space="preserve"> TOC \o \z </w:instrText>
      </w:r>
      <w:r>
        <w:rPr>
          <w:rFonts w:ascii="Times New Roman" w:hAnsi="Times New Roman" w:eastAsia="Times New Roman"/>
        </w:rPr>
        <w:fldChar w:fldCharType="separate"/>
      </w:r>
      <w:r>
        <w:rPr>
          <w:rFonts w:ascii="Times New Roman" w:hAnsi="Times New Roman" w:eastAsia="Times New Roman"/>
          <w:hyperlink w:anchor="_Оглавление000003"/>
        </w:rPr>
        <w:t>От издателя</w:t>
        <w:tab/>
        <w:t>6</w:t>
      </w:r>
      <w:r>
        <w:rPr>
          <w:rFonts w:ascii="Times New Roman" w:hAnsi="Times New Roman" w:eastAsia="Times New Roman"/>
        </w:rPr>
      </w:r>
    </w:p>
    <w:p>
      <w:pPr>
        <w:pStyle w:val="para19"/>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04"/>
        </w:rPr>
        <w:t>© Д. А. Авдеева, В. Н. Колесников</w:t>
        <w:tab/>
        <w:t>7</w:t>
      </w:r>
      <w:r>
        <w:rPr>
          <w:rFonts w:ascii="Times New Roman" w:hAnsi="Times New Roman" w:eastAsia="Times New Roman"/>
        </w:rPr>
      </w:r>
    </w:p>
    <w:p>
      <w:pPr>
        <w:pStyle w:val="para18"/>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05"/>
        </w:rPr>
        <w:t xml:space="preserve">ВЗАИМОСВЯЗЬ УРОВНЯ РОЛЕВОЙ ВИКТИМНОСТИ РОДИТЕЛЕЙ </w:t>
        <w:br w:type="textWrapping"/>
        <w:t>С ОСОБЕННОСТЯМИ ПОВЕДЕНИЯ ИХ ДЕТЕЙ</w:t>
        <w:tab/>
        <w:t>7</w:t>
      </w:r>
      <w:r>
        <w:rPr>
          <w:rFonts w:ascii="Times New Roman" w:hAnsi="Times New Roman" w:eastAsia="Times New Roman"/>
        </w:rPr>
      </w:r>
    </w:p>
    <w:p>
      <w:pPr>
        <w:pStyle w:val="para19"/>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25"/>
        </w:rPr>
        <w:t>© С. В. Карпова, И. М. Марусенко, В. В. Савина</w:t>
        <w:tab/>
        <w:t>13</w:t>
      </w:r>
      <w:r>
        <w:rPr>
          <w:rFonts w:ascii="Times New Roman" w:hAnsi="Times New Roman" w:eastAsia="Times New Roman"/>
        </w:rPr>
      </w:r>
    </w:p>
    <w:p>
      <w:pPr>
        <w:pStyle w:val="para18"/>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07"/>
        </w:rPr>
        <w:t xml:space="preserve">ЖИЗНЕННАЯ ПЕРСПЕКТИВА БОЛЬНЫХ РЕВМАТОИДНЫМ АРТРИТОМ, </w:t>
        <w:br w:type="textWrapping"/>
        <w:t>ПОЛУЧАЮЩИХ СТАНДАРТНОЕ ИННОВАЦИОННОЕ ЛЕЧЕНИЕ (ГЕННО-ИНЖЕНЕРНЫЕ БИОЛОГИЧЕСКИЕ ПРЕПАРАТЫ)</w:t>
        <w:tab/>
        <w:t>13</w:t>
      </w:r>
      <w:r>
        <w:rPr>
          <w:rFonts w:ascii="Times New Roman" w:hAnsi="Times New Roman" w:eastAsia="Times New Roman"/>
        </w:rPr>
      </w:r>
    </w:p>
    <w:p>
      <w:pPr>
        <w:pStyle w:val="para19"/>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08"/>
        </w:rPr>
        <w:t>© С. В. Карпова, И. С. Райкевич</w:t>
        <w:tab/>
        <w:t>21</w:t>
      </w:r>
      <w:r>
        <w:rPr>
          <w:rFonts w:ascii="Times New Roman" w:hAnsi="Times New Roman" w:eastAsia="Times New Roman"/>
        </w:rPr>
      </w:r>
    </w:p>
    <w:p>
      <w:pPr>
        <w:pStyle w:val="para18"/>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09"/>
        </w:rPr>
        <w:t>РЕАДАПТАЦИЯ ВОЕННОСЛУЖАЩИХ, ПРИБЫВШИХ ИЗ ДАЛЬНЕГО ПОХОДА</w:t>
        <w:tab/>
        <w:t>21</w:t>
      </w:r>
      <w:r>
        <w:rPr>
          <w:rFonts w:ascii="Times New Roman" w:hAnsi="Times New Roman" w:eastAsia="Times New Roman"/>
        </w:rPr>
      </w:r>
    </w:p>
    <w:p>
      <w:pPr>
        <w:pStyle w:val="para19"/>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10"/>
        </w:rPr>
        <w:t>© В. Н. Колесников, Ю. И. Мельник, Л. И. Теплова</w:t>
        <w:tab/>
        <w:t>25</w:t>
      </w:r>
      <w:r>
        <w:rPr>
          <w:rFonts w:ascii="Times New Roman" w:hAnsi="Times New Roman" w:eastAsia="Times New Roman"/>
        </w:rPr>
      </w:r>
    </w:p>
    <w:p>
      <w:pPr>
        <w:pStyle w:val="para18"/>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11"/>
        </w:rPr>
        <w:t>БЛАГОДАРНОСТЬ В СТРУКТУРЕ ПСИХОЛОГИЧЕСКОГО БЛАГОПОЛУЧИЯ СТУДЕНТОВ</w:t>
        <w:tab/>
        <w:t>25</w:t>
      </w:r>
      <w:r>
        <w:rPr>
          <w:rFonts w:ascii="Times New Roman" w:hAnsi="Times New Roman" w:eastAsia="Times New Roman"/>
        </w:rPr>
      </w:r>
    </w:p>
    <w:p>
      <w:pPr>
        <w:pStyle w:val="para19"/>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12"/>
        </w:rPr>
        <w:t>© А. А. Куртова, О. Ю. Юдина</w:t>
        <w:tab/>
        <w:t>31</w:t>
      </w:r>
      <w:r>
        <w:rPr>
          <w:rFonts w:ascii="Times New Roman" w:hAnsi="Times New Roman" w:eastAsia="Times New Roman"/>
        </w:rPr>
      </w:r>
    </w:p>
    <w:p>
      <w:pPr>
        <w:pStyle w:val="para18"/>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13"/>
        </w:rPr>
        <w:t xml:space="preserve">МОНЕТАРНЫЕ ОТНОШЕНИЯ СТУДЕНТОВ </w:t>
        <w:br w:type="textWrapping"/>
        <w:t>С РАЗНЫМИ ЦЕННОСТНЫМИ ОРИЕНТАЦИЯМИ</w:t>
        <w:tab/>
        <w:t>31</w:t>
      </w:r>
      <w:r>
        <w:rPr>
          <w:rFonts w:ascii="Times New Roman" w:hAnsi="Times New Roman" w:eastAsia="Times New Roman"/>
        </w:rPr>
      </w:r>
    </w:p>
    <w:p>
      <w:pPr>
        <w:pStyle w:val="para19"/>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14"/>
        </w:rPr>
        <w:t>© Ю. И. Мельник</w:t>
        <w:tab/>
        <w:t>36</w:t>
      </w:r>
      <w:r>
        <w:rPr>
          <w:rFonts w:ascii="Times New Roman" w:hAnsi="Times New Roman" w:eastAsia="Times New Roman"/>
        </w:rPr>
      </w:r>
    </w:p>
    <w:p>
      <w:pPr>
        <w:pStyle w:val="para18"/>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15"/>
        </w:rPr>
        <w:t xml:space="preserve">ЭМОЦИОНАЛЬНОЕ ВЫГОРАНИЕ КАК СИСТЕМНОЕ ЯВЛЕНИЕ И ОБРЕТЕНИЕ СМЫСЛА </w:t>
        <w:br w:type="textWrapping"/>
        <w:t>КАК ПРЕДУПРЕЖДЕНИЕ ВЫГОРАНИЯ В СОЦИОНОМИЧЕСКИХ ПРОФЕССИЯХ</w:t>
        <w:tab/>
        <w:t>36</w:t>
      </w:r>
      <w:r>
        <w:rPr>
          <w:rFonts w:ascii="Times New Roman" w:hAnsi="Times New Roman" w:eastAsia="Times New Roman"/>
        </w:rPr>
      </w:r>
    </w:p>
    <w:p>
      <w:pPr>
        <w:pStyle w:val="para19"/>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24"/>
        </w:rPr>
        <w:t>© И. Ю. Оксина</w:t>
        <w:tab/>
        <w:t>42</w:t>
      </w:r>
      <w:r>
        <w:rPr>
          <w:rFonts w:ascii="Times New Roman" w:hAnsi="Times New Roman" w:eastAsia="Times New Roman"/>
        </w:rPr>
      </w:r>
    </w:p>
    <w:p>
      <w:pPr>
        <w:pStyle w:val="para18"/>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19"/>
        </w:rPr>
        <w:t>ЛИДЕРСКИЕ КАЧЕСТВА СТУДЕНТОВ — БУДУЩИХ УЧИТЕЛЕЙ</w:t>
        <w:tab/>
        <w:t>42</w:t>
      </w:r>
      <w:r>
        <w:rPr>
          <w:rFonts w:ascii="Times New Roman" w:hAnsi="Times New Roman" w:eastAsia="Times New Roman"/>
        </w:rPr>
      </w:r>
    </w:p>
    <w:p>
      <w:pPr>
        <w:pStyle w:val="para19"/>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20"/>
        </w:rPr>
        <w:t>© А. В. Румянцева</w:t>
        <w:tab/>
        <w:t>46</w:t>
      </w:r>
      <w:r>
        <w:rPr>
          <w:rFonts w:ascii="Times New Roman" w:hAnsi="Times New Roman" w:eastAsia="Times New Roman"/>
        </w:rPr>
      </w:r>
    </w:p>
    <w:p>
      <w:pPr>
        <w:pStyle w:val="para18"/>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21"/>
        </w:rPr>
        <w:t xml:space="preserve">ИСПОЛЬЗОВАНИЕ ИГРЫ «FALLACYMANIA» ДЛЯ РАЗВИТИЯ </w:t>
        <w:br w:type="textWrapping"/>
        <w:t>КРИТИЧЕСКОГО МЫШЛЕНИЯ СТАРШЕКЛАССНИКОВ И СТУДЕНТОВ</w:t>
        <w:tab/>
        <w:t>46</w:t>
      </w:r>
      <w:r>
        <w:rPr>
          <w:rFonts w:ascii="Times New Roman" w:hAnsi="Times New Roman" w:eastAsia="Times New Roman"/>
        </w:rPr>
      </w:r>
    </w:p>
    <w:p>
      <w:pPr>
        <w:pStyle w:val="para19"/>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22"/>
        </w:rPr>
        <w:t>© Л. И. Теплова, А. И. Дударева, А. Д. Дорофеева, З. Ф. Локтюшова</w:t>
        <w:tab/>
        <w:t>50</w:t>
      </w:r>
      <w:r>
        <w:rPr>
          <w:rFonts w:ascii="Times New Roman" w:hAnsi="Times New Roman" w:eastAsia="Times New Roman"/>
        </w:rPr>
      </w:r>
    </w:p>
    <w:p>
      <w:pPr>
        <w:pStyle w:val="para18"/>
        <w:spacing w:line="360" w:lineRule="auto"/>
        <w:tabs defTabSz="708">
          <w:tab w:val="right" w:pos="9638" w:leader="dot"/>
        </w:tabs>
        <w:rPr>
          <w:rFonts w:ascii="Times New Roman" w:hAnsi="Times New Roman" w:eastAsia="Times New Roman"/>
        </w:rPr>
      </w:pPr>
      <w:r>
        <w:rPr>
          <w:rFonts w:ascii="Times New Roman" w:hAnsi="Times New Roman" w:eastAsia="Times New Roman"/>
          <w:hyperlink w:anchor="_Оглавление000023"/>
        </w:rPr>
        <w:t>ИНТЕРНЕТ-АКТИВНОСТЬ УЧАЩИХСЯ 6—9-х КЛАССОВ</w:t>
        <w:tab/>
        <w:t>50</w:t>
      </w:r>
      <w:r>
        <w:rPr>
          <w:rFonts w:ascii="Times New Roman" w:hAnsi="Times New Roman" w:eastAsia="Times New Roman"/>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fldChar w:fldCharType="end"/>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sz w:val="24"/>
          <w:szCs w:val="24"/>
        </w:rPr>
      </w:pPr>
      <w:r>
        <w:br w:type="page"/>
      </w:r>
      <w:r>
        <w:rPr>
          <w:rFonts w:ascii="Times New Roman" w:hAnsi="Times New Roman"/>
          <w:sz w:val="24"/>
          <w:szCs w:val="24"/>
        </w:rPr>
        <w:t>Научное электронное издание</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АКТУАЛЬНЫЕ ПРОБЛЕМЫ ПСИХОЛОГИИ</w:t>
      </w:r>
    </w:p>
    <w:p>
      <w:pPr>
        <w:spacing w:after="0" w:line="240" w:lineRule="auto"/>
        <w:jc w:val="center"/>
        <w:rPr>
          <w:rFonts w:ascii="Times New Roman" w:hAnsi="Times New Roman"/>
          <w:i/>
          <w:iCs/>
          <w:color w:val="000000"/>
          <w:sz w:val="24"/>
          <w:szCs w:val="24"/>
        </w:rPr>
      </w:pPr>
      <w:r>
        <w:rPr>
          <w:rFonts w:ascii="Times New Roman" w:hAnsi="Times New Roman"/>
          <w:i/>
          <w:iCs/>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i/>
          <w:iCs/>
          <w:color w:val="000000"/>
          <w:sz w:val="24"/>
          <w:szCs w:val="24"/>
        </w:rPr>
        <w:t>Сборник статей к 30-летнему юбилею кафедры психологии ПетрГУ</w:t>
      </w:r>
      <w:r>
        <w:rPr>
          <w:rFonts w:ascii="Times New Roman" w:hAnsi="Times New Roman"/>
          <w:color w:val="000000"/>
          <w:sz w:val="24"/>
          <w:szCs w:val="24"/>
        </w:rPr>
      </w:r>
    </w:p>
    <w:p>
      <w:pPr>
        <w:spacing w:after="0" w:line="240" w:lineRule="auto"/>
        <w:jc w:val="center"/>
        <w:rPr>
          <w:rFonts w:ascii="Times New Roman" w:hAnsi="Times New Roman"/>
          <w:sz w:val="24"/>
          <w:szCs w:val="24"/>
        </w:rPr>
      </w:pPr>
      <w:r>
        <w:rPr>
          <w:rFonts w:ascii="Times New Roman" w:hAnsi="Times New Roman"/>
          <w:sz w:val="24"/>
          <w:szCs w:val="24"/>
        </w:rPr>
      </w:r>
    </w:p>
    <w:p>
      <w:pPr>
        <w:spacing w:after="0" w:line="240" w:lineRule="auto"/>
        <w:jc w:val="center"/>
        <w:rPr>
          <w:rFonts w:ascii="Times New Roman" w:hAnsi="Times New Roman"/>
          <w:sz w:val="24"/>
          <w:szCs w:val="24"/>
        </w:rPr>
      </w:pPr>
      <w:r>
        <w:rPr>
          <w:rFonts w:ascii="Times New Roman" w:hAnsi="Times New Roman"/>
          <w:sz w:val="24"/>
          <w:szCs w:val="24"/>
        </w:rPr>
      </w:r>
    </w:p>
    <w:p>
      <w:pPr>
        <w:spacing w:after="0" w:line="240" w:lineRule="auto"/>
        <w:jc w:val="center"/>
      </w:pPr>
      <w:r>
        <w:rPr>
          <w:rFonts w:ascii="Times New Roman" w:hAnsi="Times New Roman"/>
          <w:sz w:val="24"/>
          <w:szCs w:val="24"/>
        </w:rPr>
        <w:t xml:space="preserve">Редактор </w:t>
      </w:r>
      <w:r>
        <w:rPr>
          <w:rFonts w:ascii="Times New Roman" w:hAnsi="Times New Roman"/>
          <w:i/>
          <w:sz w:val="24"/>
          <w:szCs w:val="24"/>
        </w:rPr>
        <w:t>Л. М. Дейнега</w:t>
      </w: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Художественный редактор </w:t>
      </w:r>
      <w:r>
        <w:rPr>
          <w:rFonts w:ascii="Times New Roman" w:hAnsi="Times New Roman"/>
          <w:i/>
          <w:iCs/>
          <w:color w:val="000000"/>
          <w:sz w:val="24"/>
          <w:szCs w:val="24"/>
        </w:rPr>
        <w:t>Н. Н. Осипов</w:t>
      </w: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Подписано к использованию 15.12.2023.</w:t>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1 </w:t>
      </w:r>
      <w:r>
        <w:rPr>
          <w:rFonts w:ascii="Times New Roman" w:hAnsi="Times New Roman"/>
          <w:color w:val="000000"/>
          <w:sz w:val="24"/>
          <w:szCs w:val="24"/>
          <w:lang w:val="en-us"/>
        </w:rPr>
        <w:t>CD</w:t>
      </w:r>
      <w:r>
        <w:rPr>
          <w:rFonts w:ascii="Times New Roman" w:hAnsi="Times New Roman"/>
          <w:color w:val="000000"/>
          <w:sz w:val="24"/>
          <w:szCs w:val="24"/>
        </w:rPr>
        <w:t>-</w:t>
      </w:r>
      <w:r>
        <w:rPr>
          <w:rFonts w:ascii="Times New Roman" w:hAnsi="Times New Roman"/>
          <w:color w:val="000000"/>
          <w:sz w:val="24"/>
          <w:szCs w:val="24"/>
          <w:lang w:val="en-us"/>
        </w:rPr>
        <w:t>R</w:t>
      </w:r>
      <w:r>
        <w:rPr>
          <w:rFonts w:ascii="Times New Roman" w:hAnsi="Times New Roman"/>
          <w:color w:val="000000"/>
          <w:sz w:val="24"/>
          <w:szCs w:val="24"/>
        </w:rPr>
        <w:t>. 2,6 Мб. Тираж 100 экз. Изд. № 119</w:t>
      </w: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Федеральное государственное бюджетное образовательное</w:t>
        <w:br w:type="textWrapping"/>
        <w:t>учреждение высшего образования</w:t>
        <w:br w:type="textWrapping"/>
        <w:t>ПЕТРОЗАВОДСКИЙ ГОСУДАРСТВЕННЫЙ УНИВЕРСИТЕТ</w:t>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185910, г. Петрозаводск, пр. Ленина, 33</w:t>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Style w:val="char4"/>
          <w:rFonts w:ascii="Times New Roman" w:hAnsi="Times New Roman"/>
          <w:color w:val="000000"/>
          <w:sz w:val="24"/>
          <w:szCs w:val="24"/>
          <w:u w:color="auto" w:val="none"/>
          <w:lang w:val="en-us"/>
          <w:hyperlink r:id="rId9"/>
        </w:rPr>
        <w:t>https</w:t>
      </w:r>
      <w:r>
        <w:rPr>
          <w:rStyle w:val="char4"/>
          <w:rFonts w:ascii="Times New Roman" w:hAnsi="Times New Roman"/>
          <w:color w:val="000000"/>
          <w:sz w:val="24"/>
          <w:szCs w:val="24"/>
          <w:u w:color="auto" w:val="none"/>
          <w:hyperlink r:id="rId9"/>
        </w:rPr>
        <w:t>://</w:t>
      </w:r>
      <w:r>
        <w:rPr>
          <w:rStyle w:val="char4"/>
          <w:rFonts w:ascii="Times New Roman" w:hAnsi="Times New Roman"/>
          <w:color w:val="000000"/>
          <w:sz w:val="24"/>
          <w:szCs w:val="24"/>
          <w:u w:color="auto" w:val="none"/>
          <w:lang w:val="en-us"/>
          <w:hyperlink r:id="rId9"/>
        </w:rPr>
        <w:t>petrsu</w:t>
      </w:r>
      <w:r>
        <w:rPr>
          <w:rStyle w:val="char4"/>
          <w:rFonts w:ascii="Times New Roman" w:hAnsi="Times New Roman"/>
          <w:color w:val="000000"/>
          <w:sz w:val="24"/>
          <w:szCs w:val="24"/>
          <w:u w:color="auto" w:val="none"/>
          <w:hyperlink r:id="rId9"/>
        </w:rPr>
        <w:t>.</w:t>
      </w:r>
      <w:r>
        <w:rPr>
          <w:rStyle w:val="char4"/>
          <w:rFonts w:ascii="Times New Roman" w:hAnsi="Times New Roman"/>
          <w:color w:val="000000"/>
          <w:sz w:val="24"/>
          <w:szCs w:val="24"/>
          <w:u w:color="auto" w:val="none"/>
          <w:lang w:val="en-us"/>
          <w:hyperlink r:id="rId9"/>
        </w:rPr>
        <w:t>ru</w:t>
      </w: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Тел.: (8142) 71-10-01</w:t>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Изготовлено в Издательстве ПетрГУ</w:t>
      </w:r>
    </w:p>
    <w:p>
      <w:pPr>
        <w:spacing w:after="0" w:line="240" w:lineRule="auto"/>
        <w:jc w:val="center"/>
        <w:rPr>
          <w:rFonts w:ascii="Times New Roman" w:hAnsi="Times New Roman"/>
          <w:color w:val="000000"/>
          <w:sz w:val="24"/>
          <w:szCs w:val="24"/>
          <w:lang w:val="en-us"/>
        </w:rPr>
      </w:pPr>
      <w:r>
        <w:rPr>
          <w:rFonts w:ascii="Times New Roman" w:hAnsi="Times New Roman"/>
          <w:color w:val="000000"/>
          <w:sz w:val="24"/>
          <w:szCs w:val="24"/>
        </w:rPr>
        <w:t>185910, г. Петрозаводск, пр. Ленина</w:t>
      </w:r>
      <w:r>
        <w:rPr>
          <w:rFonts w:ascii="Times New Roman" w:hAnsi="Times New Roman"/>
          <w:color w:val="000000"/>
          <w:sz w:val="24"/>
          <w:szCs w:val="24"/>
          <w:lang w:val="en-us"/>
        </w:rPr>
        <w:t>, 33</w:t>
      </w:r>
      <w:r>
        <w:rPr>
          <w:rFonts w:ascii="Times New Roman" w:hAnsi="Times New Roman"/>
          <w:color w:val="000000"/>
          <w:sz w:val="24"/>
          <w:szCs w:val="24"/>
          <w:lang w:val="en-us"/>
        </w:rPr>
      </w:r>
    </w:p>
    <w:p>
      <w:pPr>
        <w:spacing w:after="0" w:line="240" w:lineRule="auto"/>
        <w:jc w:val="center"/>
        <w:rPr>
          <w:rFonts w:ascii="Times New Roman" w:hAnsi="Times New Roman"/>
          <w:color w:val="000000"/>
          <w:sz w:val="24"/>
          <w:szCs w:val="24"/>
          <w:lang w:val="en-us"/>
        </w:rPr>
      </w:pPr>
      <w:r>
        <w:rPr>
          <w:rStyle w:val="char4"/>
          <w:rFonts w:ascii="Times New Roman" w:hAnsi="Times New Roman"/>
          <w:color w:val="000000"/>
          <w:sz w:val="24"/>
          <w:szCs w:val="24"/>
          <w:u w:color="auto" w:val="none"/>
          <w:lang w:val="en-us"/>
          <w:hyperlink r:id="rId10"/>
        </w:rPr>
        <w:t>URL: press.petrsu.ru/UNIPRESS/UNIPRESS.html</w:t>
      </w:r>
      <w:r>
        <w:rPr>
          <w:rFonts w:ascii="Times New Roman" w:hAnsi="Times New Roman"/>
          <w:color w:val="000000"/>
          <w:sz w:val="24"/>
          <w:szCs w:val="24"/>
          <w:lang w:val="en-us"/>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Тел./факс: (8142) 78-15-40</w:t>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en-us"/>
        </w:rPr>
        <w:t>nvpahomova</w:t>
      </w:r>
      <w:r>
        <w:rPr>
          <w:rFonts w:ascii="Times New Roman" w:hAnsi="Times New Roman"/>
          <w:color w:val="000000"/>
          <w:sz w:val="24"/>
          <w:szCs w:val="24"/>
        </w:rPr>
        <w:t>@</w:t>
      </w:r>
      <w:r>
        <w:rPr>
          <w:rFonts w:ascii="Times New Roman" w:hAnsi="Times New Roman"/>
          <w:color w:val="000000"/>
          <w:sz w:val="24"/>
          <w:szCs w:val="24"/>
          <w:lang w:val="en-us"/>
        </w:rPr>
        <w:t>yandex</w:t>
      </w:r>
      <w:r>
        <w:rPr>
          <w:rFonts w:ascii="Times New Roman" w:hAnsi="Times New Roman"/>
          <w:color w:val="000000"/>
          <w:sz w:val="24"/>
          <w:szCs w:val="24"/>
        </w:rPr>
        <w:t>.</w:t>
      </w:r>
      <w:r>
        <w:rPr>
          <w:rFonts w:ascii="Times New Roman" w:hAnsi="Times New Roman"/>
          <w:color w:val="000000"/>
          <w:sz w:val="24"/>
          <w:szCs w:val="24"/>
          <w:lang w:val="en-us"/>
        </w:rPr>
        <w:t>ru</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jc w:val="center"/>
      </w:pPr>
      <w:r>
        <w:rPr>
          <w:noProof/>
        </w:rPr>
        <w:drawing>
          <wp:inline distT="89535" distB="89535" distL="89535" distR="89535">
            <wp:extent cx="1478280" cy="1397000"/>
            <wp:effectExtent l="0" t="0" r="0" b="0"/>
            <wp:docPr id="2" name="Изображение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15"/>
                    <pic:cNvPicPr>
                      <a:picLocks noChangeAspect="1"/>
                      <a:extLst>
                        <a:ext uri="sm">
                          <sm:smNativeData xmlns:sm="sm" val="SMDATA_17_A3dgZ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BgJAACYCAAAGAkAAJgI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vAAAAB6IAAAAAAAAAAAAAAAAAAAAAAAA3FwAAAAAAAAAAAACEJAAAGAkAAJgIAAAEAAAANxcAAIQkAAAoAAAACAAAAAEAAAABAAAAMAAAABQAAAAAAAAAAAD//wAAAQAAAP//AAABAA=="/>
                        </a:ext>
                      </a:extLst>
                    </pic:cNvPicPr>
                  </pic:nvPicPr>
                  <pic:blipFill>
                    <a:blip r:embed="rId11"/>
                    <a:stretch>
                      <a:fillRect/>
                    </a:stretch>
                  </pic:blipFill>
                  <pic:spPr>
                    <a:xfrm>
                      <a:off x="0" y="0"/>
                      <a:ext cx="1478280" cy="1397000"/>
                    </a:xfrm>
                    <a:prstGeom prst="rect">
                      <a:avLst/>
                    </a:prstGeom>
                    <a:noFill/>
                    <a:ln w="12700">
                      <a:noFill/>
                    </a:ln>
                  </pic:spPr>
                </pic:pic>
              </a:graphicData>
            </a:graphic>
          </wp:inline>
        </w:drawing>
      </w:r>
      <w:r/>
    </w:p>
    <w:p>
      <w:r/>
    </w:p>
    <w:p>
      <w:r/>
    </w:p>
    <w:p>
      <w:pPr>
        <w:pStyle w:val="para16"/>
      </w:pPr>
      <w:r>
        <w:br w:type="page"/>
      </w:r>
      <w:bookmarkStart w:id="1" w:name="_Оглавление000003"/>
      <w:r>
        <w:t>От издателя</w:t>
      </w:r>
      <w:bookmarkEnd w:id="1"/>
      <w:r/>
    </w:p>
    <w:p>
      <w:pPr>
        <w:pStyle w:val="para8"/>
        <w:ind w:firstLine="284"/>
        <w:spacing w:before="0" w:after="0" w:beforeAutospacing="0" w:afterAutospacing="0" w:line="226"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color w:val="000000"/>
        </w:rPr>
      </w:pPr>
      <w:r>
        <w:rPr>
          <w:color w:val="000000"/>
        </w:rPr>
        <w:t xml:space="preserve">В ноябре 2023 года кафедра психологии Института педагогики и психологии Петрозаводского государственного университета отмечает 30-летний юбилей. В 1993 году в Республике Карелия началась подготовка специалистов-психологов, сначала на кафедре психологии Карельской государственной педагогической академии, а с 1997 года на факультете психологии, который получил статус самостоятельного структурного подразделения вуза. Первый выпуск специалистов с квалификацией «Практический психолог системы народного образования, преподаватель психологии» состоялся в 1998 году. </w:t>
      </w:r>
    </w:p>
    <w:p>
      <w:pPr>
        <w:pStyle w:val="para8"/>
        <w:ind w:firstLine="284"/>
        <w:spacing w:before="0" w:after="0" w:beforeAutospacing="0" w:afterAutospacing="0" w:line="226"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color w:val="000000"/>
        </w:rPr>
      </w:pPr>
      <w:r>
        <w:rPr>
          <w:color w:val="000000"/>
          <w:spacing w:val="-6" spc="45"/>
          <w:lang w:bidi="ru-ru"/>
        </w:rPr>
        <w:t>В течение почти 20 лет факультет вел успешную подготовку специалистов в области психологии. В результате структурных преобразований на факультете появлялись новые кафедры, разрабатывались новые образовательные программы. В 2006 году была открыта аспирантура по специальности 19.00.07 — Педагогическая психология, в 2009 году начата подготовка бакалавров по профессионально-образовательной программе 030300.62 — Психология. В 2011 году открылся набор на бюджетные места для подготовки бакалавров по профессионально-образовательной программе 050400.62 — Психолого-педагогическое направление, профиль «Психология образования». В 2012 году была лицензирована программа подготовки специалистов 030301.65 — Психология служебной деятельности со специализацией «Психологическое обеспечение служебной деятельности сотрудников правоохранительных органов», а также программы магистратуры по направлению подготовки 050400.68 — Психолого-педагогическое образование.</w:t>
      </w:r>
      <w:r>
        <w:rPr>
          <w:color w:val="000000"/>
        </w:rPr>
        <w:t xml:space="preserve"> </w:t>
      </w:r>
    </w:p>
    <w:p>
      <w:pPr>
        <w:pStyle w:val="para8"/>
        <w:ind w:firstLine="284"/>
        <w:spacing w:before="0" w:after="0" w:beforeAutospacing="0" w:afterAutospacing="0" w:line="226"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color w:val="000000"/>
        </w:rPr>
      </w:pPr>
      <w:r>
        <w:rPr>
          <w:color w:val="000000"/>
        </w:rPr>
        <w:t xml:space="preserve">В 2013 году в связи с присоединением Карельской государственной педагогической академии к Петрозаводскому государственному университету (ПетрГУ) кафедры факультета психологии и кафедра психологии и педагогики ПетрГУ были объединены в кафедру психологии в качестве структурного подразделения Института педагогики и психологии ПетрГУ. </w:t>
      </w:r>
    </w:p>
    <w:p>
      <w:pPr>
        <w:pStyle w:val="para8"/>
        <w:ind w:firstLine="284"/>
        <w:spacing w:before="0" w:after="0" w:beforeAutospacing="0" w:afterAutospacing="0" w:line="226"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color w:val="000000"/>
        </w:rPr>
      </w:pPr>
      <w:r>
        <w:rPr>
          <w:color w:val="000000"/>
        </w:rPr>
        <w:t>За время своего существования преподаватели кафедры психологии участвовали в крупных проектах Республики Карелия в области образования и социальной защиты. В течение ряда лет кафедра обеспечивала научное сопровождение международных программ «Невероятные годы» и «АРТ» (в рамках программы «Дети и молодежь группы риска в Баренц-регионе»), получивших высокую оценку внешних экспертов и руководства Республики Карелия.</w:t>
      </w:r>
    </w:p>
    <w:p>
      <w:pPr>
        <w:pStyle w:val="para8"/>
        <w:ind w:firstLine="284"/>
        <w:spacing w:before="0" w:after="0" w:beforeAutospacing="0" w:afterAutospacing="0" w:line="226"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color w:val="000000"/>
        </w:rPr>
      </w:pPr>
      <w:r>
        <w:rPr>
          <w:color w:val="000000"/>
        </w:rPr>
        <w:t>За прошедшее время подготовлено более тысячи специалистов, работающих в учреждениях образования, здравоохранения, социальной защиты, органах управления и т. д. Более 98 % выпускников трудоустроены в Республике Карелия и других регионах Российской Федерации. Часть выпускников продолжают обучение за рубежом, их дипломы признаны в Норвегии, Финляндии, Испании и Италии на основе анализа учебных планов и содержания рабочих программ.</w:t>
      </w:r>
    </w:p>
    <w:p>
      <w:pPr>
        <w:pStyle w:val="para8"/>
        <w:ind w:firstLine="284"/>
        <w:spacing w:before="0" w:after="0" w:beforeAutospacing="0" w:afterAutospacing="0" w:line="226"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color w:val="000000"/>
        </w:rPr>
      </w:pPr>
      <w:r>
        <w:rPr>
          <w:color w:val="000000"/>
        </w:rPr>
        <w:t>Научные интересы и тематика научных исследований преподавателей кафедры складывалась на протяжении многих лет ее существования. Основные направления научных исследований кафедры связаны с актуальными проблемами современной психологической науки и практики и вместе с тем отражают запросы общества к психологическому знанию. В настоящее время исследования преподавателей и студентов ведутся преимущественно в рамках следующих направлений:</w:t>
      </w:r>
    </w:p>
    <w:p>
      <w:pPr>
        <w:ind w:firstLine="284"/>
        <w:spacing w:after="0" w:line="226"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Психологическое здоровье и психологическое благополучие личности.</w:t>
      </w:r>
    </w:p>
    <w:p>
      <w:pPr>
        <w:ind w:firstLine="284"/>
        <w:spacing w:after="0" w:line="226"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Межличностное взаимодействие субъектов образовательного процесса.</w:t>
      </w:r>
    </w:p>
    <w:p>
      <w:pPr>
        <w:ind w:firstLine="284"/>
        <w:spacing w:after="0" w:line="226"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Технологические зависимости обучающихся: диагностика, профилактика и коррекция.</w:t>
      </w:r>
    </w:p>
    <w:p>
      <w:pPr>
        <w:ind w:firstLine="284"/>
        <w:spacing w:after="0" w:line="226"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Интернет и информационные технологии как ресурс и как угроза психического развития в подростковом и старшем школьном возрасте.</w:t>
      </w:r>
    </w:p>
    <w:p>
      <w:pPr>
        <w:ind w:firstLine="284"/>
        <w:spacing w:after="0" w:line="226"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Психологическая служба образовательной организации.</w:t>
      </w:r>
    </w:p>
    <w:p>
      <w:pPr>
        <w:ind w:firstLine="284"/>
        <w:spacing w:after="0" w:line="226" w:lineRule="auto"/>
        <w:jc w:val="both"/>
        <w:rPr>
          <w:rFonts w:ascii="Times New Roman" w:hAnsi="Times New Roman"/>
          <w:color w:val="000000"/>
          <w:sz w:val="24"/>
          <w:szCs w:val="24"/>
        </w:rPr>
      </w:pPr>
      <w:r>
        <w:rPr>
          <w:rFonts w:ascii="Times New Roman" w:hAnsi="Times New Roman"/>
          <w:color w:val="000000"/>
          <w:sz w:val="24"/>
          <w:szCs w:val="24"/>
        </w:rPr>
        <w:t xml:space="preserve">В данный сборник вошли статьи, в основу которых легли материалы научных исследований, проведенных в течение последних нескольких лет преподавателями и студентами кафедры. В статьях рассматриваются актуальные вопросы психологической науки и практики, приводятся результаты психологических исследований, предлагаются современные психологические технологии решения задач, стоящих перед психологической и педагогической практикой в образовании. </w:t>
      </w:r>
    </w:p>
    <w:p>
      <w:pPr>
        <w:pStyle w:val="para7"/>
        <w:ind w:firstLine="284"/>
        <w:spacing w:line="226" w:lineRule="auto"/>
        <w:jc w:val="both"/>
        <w:widowControl/>
        <w:rPr>
          <w:rFonts w:ascii="Times New Roman" w:hAnsi="Times New Roman" w:cs="Times New Roman"/>
          <w:color w:val="000000"/>
          <w:spacing w:val="-6" spc="45"/>
          <w:sz w:val="24"/>
          <w:szCs w:val="24"/>
          <w:lang w:bidi="ru-ru"/>
        </w:rPr>
      </w:pPr>
      <w:r>
        <w:rPr>
          <w:rFonts w:ascii="Times New Roman" w:hAnsi="Times New Roman" w:cs="Times New Roman"/>
          <w:color w:val="000000"/>
          <w:spacing w:val="-6" spc="45"/>
          <w:sz w:val="24"/>
          <w:szCs w:val="24"/>
          <w:lang w:bidi="ru-ru"/>
        </w:rPr>
        <w:t xml:space="preserve">Материалы сборника адресованы практическим психологам образования, учреждений здравоохранения, специалистам психологических служб, учителям и воспитателям образовательных организаций, студентам и преподавателям организаций профессионального образования. </w:t>
      </w:r>
    </w:p>
    <w:p>
      <w:pPr>
        <w:pStyle w:val="para17"/>
      </w:pPr>
      <w:r>
        <w:br w:type="page"/>
      </w:r>
      <w:bookmarkStart w:id="2" w:name="_Оглавление000004"/>
      <w:r/>
      <w:r>
        <w:rPr>
          <w:rFonts w:ascii="Symbol" w:hAnsi="Symbol" w:eastAsia="Symbol" w:cs="Symbol"/>
          <w:color w:val="ffffff"/>
        </w:rPr>
        <w:t>©</w:t>
      </w:r>
      <w:r>
        <w:t xml:space="preserve"> Д. А. Авдеева, В. Н. Колесников </w:t>
      </w:r>
      <w:bookmarkEnd w:id="2"/>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ФГБОУ ВО «Петрозаводский государственный университет»</w:t>
      </w:r>
    </w:p>
    <w:p>
      <w:pPr>
        <w:ind w:firstLine="284"/>
        <w:spacing w:after="0" w:line="240" w:lineRule="auto"/>
        <w:jc w:val="right"/>
        <w:rPr>
          <w:rFonts w:ascii="Times New Roman" w:hAnsi="Times New Roman"/>
          <w:i/>
          <w:color w:val="000000"/>
          <w:sz w:val="24"/>
          <w:szCs w:val="24"/>
          <w:u w:color="auto" w:val="single"/>
        </w:rPr>
      </w:pPr>
      <w:r>
        <w:rPr>
          <w:rFonts w:ascii="Times New Roman" w:hAnsi="Times New Roman"/>
          <w:i/>
          <w:color w:val="000000"/>
          <w:sz w:val="24"/>
          <w:szCs w:val="24"/>
        </w:rPr>
        <w:t>г. Петрозаводск, Россия</w:t>
      </w:r>
      <w:r>
        <w:rPr>
          <w:rFonts w:ascii="Times New Roman" w:hAnsi="Times New Roman"/>
          <w:i/>
          <w:color w:val="000000"/>
          <w:sz w:val="24"/>
          <w:szCs w:val="24"/>
          <w:u w:color="auto" w:val="single"/>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pStyle w:val="para16"/>
      </w:pPr>
      <w:bookmarkStart w:id="3" w:name="_Оглавление000005"/>
      <w:r>
        <w:t xml:space="preserve">ВЗАИМОСВЯЗЬ УРОВНЯ РОЛЕВОЙ ВИКТИМНОСТИ РОДИТЕЛЕЙ </w:t>
        <w:br w:type="textWrapping"/>
        <w:t>С ОСОБЕННОСТЯМИ ПОВЕДЕНИЯ ИХ ДЕТЕЙ</w:t>
      </w:r>
      <w:bookmarkEnd w:id="3"/>
      <w:r/>
    </w:p>
    <w:p>
      <w:pPr>
        <w:ind w:firstLine="284"/>
        <w:spacing w:after="0" w:line="240" w:lineRule="auto"/>
        <w:jc w:val="both"/>
        <w:rPr>
          <w:rFonts w:ascii="Times New Roman" w:hAnsi="Times New Roman"/>
          <w:b/>
          <w:i/>
          <w:color w:val="000000"/>
          <w:sz w:val="24"/>
          <w:szCs w:val="24"/>
        </w:rPr>
      </w:pPr>
      <w:r>
        <w:rPr>
          <w:rFonts w:ascii="Times New Roman" w:hAnsi="Times New Roman"/>
          <w:b/>
          <w:i/>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Аннотация</w:t>
      </w:r>
      <w:r>
        <w:rPr>
          <w:rFonts w:ascii="Times New Roman" w:hAnsi="Times New Roman"/>
          <w:i/>
          <w:color w:val="000000"/>
          <w:sz w:val="24"/>
          <w:szCs w:val="24"/>
        </w:rPr>
        <w:t xml:space="preserve">. </w:t>
      </w:r>
      <w:r>
        <w:rPr>
          <w:rFonts w:ascii="Times New Roman" w:hAnsi="Times New Roman"/>
          <w:color w:val="000000"/>
          <w:sz w:val="24"/>
          <w:szCs w:val="24"/>
        </w:rPr>
        <w:t>В статье представлены результаты исследования родительских позиций личностей с высоким и низким уровнем ролевой виктимности и особенностей поведения их детей. Для сбора эмпирических данных были использованы опросник «Тип ролевой виктимности» (М. А. Одинцова); методика PARI (Е. С. Шефер, Р. К. Белл), опросник «Сильные стороны и трудности» (Р. Гудман). Установлено, что в семьях, где родители имеют высокие баллы ролевой виктимности, дети имеют психофизиологические признаки дистресса, высокую тревожность, неуверенность, страхи; они могут быть агрессивны по отношению к другим, раздражительны, с трудом следуют правилам поведения.</w:t>
      </w:r>
    </w:p>
    <w:p>
      <w:pPr>
        <w:ind w:firstLine="284"/>
        <w:spacing w:after="0" w:line="240" w:lineRule="auto"/>
        <w:jc w:val="both"/>
        <w:rPr>
          <w:rFonts w:ascii="Times New Roman" w:hAnsi="Times New Roman"/>
          <w:i/>
          <w:color w:val="000000"/>
          <w:sz w:val="24"/>
          <w:szCs w:val="24"/>
        </w:rPr>
      </w:pPr>
      <w:r>
        <w:rPr>
          <w:rFonts w:ascii="Times New Roman" w:hAnsi="Times New Roman"/>
          <w:b/>
          <w:i/>
          <w:color w:val="000000"/>
          <w:sz w:val="24"/>
          <w:szCs w:val="24"/>
        </w:rPr>
        <w:t>Ключевые слова</w:t>
      </w:r>
      <w:r>
        <w:rPr>
          <w:rFonts w:ascii="Times New Roman" w:hAnsi="Times New Roman"/>
          <w:i/>
          <w:color w:val="000000"/>
          <w:sz w:val="24"/>
          <w:szCs w:val="24"/>
        </w:rPr>
        <w:t xml:space="preserve">: </w:t>
      </w:r>
      <w:r>
        <w:rPr>
          <w:rFonts w:ascii="Times New Roman" w:hAnsi="Times New Roman"/>
          <w:color w:val="000000"/>
          <w:sz w:val="24"/>
          <w:szCs w:val="24"/>
        </w:rPr>
        <w:t xml:space="preserve">ролевая виктимность, родительская позиция, нарушения поведения </w:t>
        <w:br w:type="textWrapping"/>
        <w:t>у детей.</w:t>
      </w:r>
      <w:r>
        <w:rPr>
          <w:rFonts w:ascii="Times New Roman" w:hAnsi="Times New Roman"/>
          <w:i/>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right"/>
        <w:rPr>
          <w:rFonts w:ascii="Times New Roman" w:hAnsi="Times New Roman"/>
          <w:b/>
          <w:i/>
          <w:color w:val="000000"/>
          <w:sz w:val="24"/>
          <w:szCs w:val="24"/>
          <w:lang w:val="en-us"/>
        </w:rPr>
      </w:pPr>
      <w:r>
        <w:rPr>
          <w:rFonts w:ascii="Times New Roman" w:hAnsi="Times New Roman"/>
          <w:b/>
          <w:i/>
          <w:color w:val="000000"/>
          <w:sz w:val="24"/>
          <w:szCs w:val="24"/>
          <w:lang w:val="en-us"/>
        </w:rPr>
        <w:t xml:space="preserve">D. A. Avdeeva, V. N. Kolesnikov </w:t>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lang w:val="en-us"/>
        </w:rPr>
        <w:t>Petrozavodsk State University</w:t>
      </w:r>
      <w:r>
        <w:rPr>
          <w:rFonts w:ascii="Times New Roman" w:hAnsi="Times New Roman"/>
          <w:i/>
          <w:color w:val="000000"/>
          <w:sz w:val="24"/>
          <w:szCs w:val="24"/>
        </w:rPr>
      </w:r>
    </w:p>
    <w:p>
      <w:pPr>
        <w:ind w:firstLine="284"/>
        <w:spacing w:after="0" w:line="240" w:lineRule="auto"/>
        <w:jc w:val="right"/>
        <w:rPr>
          <w:rFonts w:ascii="Times New Roman" w:hAnsi="Times New Roman"/>
          <w:i/>
          <w:color w:val="000000"/>
          <w:sz w:val="24"/>
          <w:szCs w:val="24"/>
          <w:lang w:val="en-us"/>
        </w:rPr>
      </w:pPr>
      <w:r>
        <w:rPr>
          <w:rFonts w:ascii="Times New Roman" w:hAnsi="Times New Roman"/>
          <w:i/>
          <w:color w:val="000000"/>
          <w:sz w:val="24"/>
          <w:szCs w:val="24"/>
          <w:lang w:val="en-us"/>
        </w:rPr>
        <w:t>Petrozavodsk, Russia</w:t>
      </w:r>
    </w:p>
    <w:p>
      <w:pPr>
        <w:ind w:firstLine="284"/>
        <w:spacing w:after="0" w:line="240" w:lineRule="auto"/>
        <w:jc w:val="right"/>
        <w:rPr>
          <w:rFonts w:ascii="Times New Roman" w:hAnsi="Times New Roman"/>
          <w:b/>
          <w:color w:val="000000"/>
          <w:sz w:val="24"/>
          <w:szCs w:val="24"/>
          <w:lang w:val="en-us"/>
        </w:rPr>
      </w:pPr>
      <w:r>
        <w:rPr>
          <w:rFonts w:ascii="Times New Roman" w:hAnsi="Times New Roman"/>
          <w:b/>
          <w:color w:val="000000"/>
          <w:sz w:val="24"/>
          <w:szCs w:val="24"/>
          <w:lang w:val="en-us"/>
        </w:rPr>
      </w:r>
    </w:p>
    <w:p>
      <w:pPr>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THE CONNECTION BETWEEN THE LEVEL OF ROLE-BASED VICTIMIZATION</w:t>
        <w:br w:type="textWrapping"/>
        <w:t>OF PARENTS WITH THEIR CHILDREN BEHAVIOR</w:t>
      </w:r>
    </w:p>
    <w:p>
      <w:pPr>
        <w:ind w:firstLine="284"/>
        <w:spacing w:after="0" w:line="240" w:lineRule="auto"/>
        <w:jc w:val="both"/>
        <w:rPr>
          <w:rFonts w:ascii="Times New Roman" w:hAnsi="Times New Roman"/>
          <w:b/>
          <w:i/>
          <w:color w:val="000000"/>
          <w:sz w:val="24"/>
          <w:szCs w:val="24"/>
          <w:lang w:val="en-us"/>
        </w:rPr>
      </w:pPr>
      <w:r>
        <w:rPr>
          <w:rFonts w:ascii="Times New Roman" w:hAnsi="Times New Roman"/>
          <w:b/>
          <w:i/>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Abstract.</w:t>
      </w:r>
      <w:r>
        <w:rPr>
          <w:rFonts w:ascii="Times New Roman" w:hAnsi="Times New Roman"/>
          <w:color w:val="000000"/>
          <w:sz w:val="24"/>
          <w:szCs w:val="24"/>
          <w:lang w:val="en-us"/>
        </w:rPr>
        <w:t xml:space="preserve"> The article presents the results of a study of the parental positions of individuals with high and low levels of role victimization and the behavioral characteristics of their children. The questionnaires (“Type of role victimization” (M. A. Odintsova), PARI (E. S. Schaefer, R. K. Bell), “Strengths and Difficulties” (R. Goodman)) were used to collect empirical data. It was found that in families with high scores of role victimization of parents children have psychophysiological signs of distress, high anxiety, uncertainty, and fears. They may be aggressive towards others, irritable, and have difficulties in the situations where following rules was needed.</w:t>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Keywords:</w:t>
      </w:r>
      <w:r>
        <w:rPr>
          <w:rFonts w:ascii="Times New Roman" w:hAnsi="Times New Roman"/>
          <w:color w:val="000000"/>
          <w:sz w:val="24"/>
          <w:szCs w:val="24"/>
          <w:lang w:val="en-us"/>
        </w:rPr>
        <w:t xml:space="preserve"> role victimization, parental position, behavioral disorders in children.</w:t>
      </w:r>
    </w:p>
    <w:p>
      <w:pPr>
        <w:ind w:firstLine="284"/>
        <w:spacing w:after="0" w:line="240" w:lineRule="auto"/>
        <w:jc w:val="both"/>
        <w:rPr>
          <w:rFonts w:ascii="Times New Roman" w:hAnsi="Times New Roman" w:eastAsia="Times New Roman"/>
          <w:color w:val="000000"/>
          <w:sz w:val="24"/>
          <w:szCs w:val="24"/>
          <w:lang w:val="en-us"/>
        </w:rPr>
      </w:pPr>
      <w:r>
        <w:rPr>
          <w:rFonts w:ascii="Times New Roman" w:hAnsi="Times New Roman" w:eastAsia="Times New Roman"/>
          <w:color w:val="000000"/>
          <w:sz w:val="24"/>
          <w:szCs w:val="24"/>
          <w:lang w:val="en-us"/>
        </w:rPr>
      </w:r>
    </w:p>
    <w:p>
      <w:pPr>
        <w:ind w:firstLine="284"/>
        <w:spacing w:after="0" w:line="240" w:lineRule="auto"/>
        <w:jc w:val="both"/>
        <w:rPr>
          <w:rFonts w:ascii="Times New Roman" w:hAnsi="Times New Roman"/>
          <w:color w:val="000000"/>
          <w:sz w:val="24"/>
          <w:szCs w:val="24"/>
        </w:rPr>
      </w:pPr>
      <w:r>
        <w:rPr>
          <w:rFonts w:ascii="Times New Roman" w:hAnsi="Times New Roman" w:eastAsia="Times New Roman"/>
          <w:color w:val="000000"/>
          <w:sz w:val="24"/>
          <w:szCs w:val="24"/>
        </w:rPr>
        <w:t>В жизни ребенка семья является главнейшим социальным институтом, оказывающим фундаментальное влияние на формирование его личности. Первый опыт взаимодействия с миром происходит посредством общения со значимыми взрослыми, чья позиция как родителя может воздействовать на ребенка или благотворно, или разрушающе.</w:t>
      </w:r>
      <w:r>
        <w:rPr>
          <w:rFonts w:ascii="Times New Roman" w:hAnsi="Times New Roman"/>
          <w:color w:val="000000"/>
          <w:sz w:val="24"/>
          <w:szCs w:val="24"/>
        </w:rPr>
        <w:t xml:space="preserve"> Во многих работах показано, что успешность воспитания детей зависит от особенностей личностного развития родителей [1; 2]. Таким образом, актуальность проблемы исследования определяется высокой значимостью родительской позиции как системы отношений к ребенку, к себе как к родителю и к процессу воспитания: деструктивные родительские позиции могут негативно отразиться на формировании личности и здоровье ребенка, а также на самочувствии самих родителей. Основной вопрос исследования: связь уровня ролевой виктимности родителей с особенностями поведения их детей, в частности, с возникновением нарушений поведения.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Понятие «родительская позиция» — центральное для нашего исследования. Родительская позиция определяется как реальная направленность, в основе которой лежит сознательная или бессознательная оценка ребенка, выражающаяся в способах и формах взаимодействия с ним. В своей типологии родительских позиций А. С. Спиваковская выделяет адекватные (оптимальные) и неадекватные родительские позиции. Родительская позиция объединяет родительские установки, цели и мотивы деятельности в области семейного воспитания [7].</w:t>
      </w:r>
    </w:p>
    <w:p>
      <w:pPr>
        <w:ind w:firstLine="284"/>
        <w:spacing w:after="0" w:line="240" w:lineRule="auto"/>
        <w:jc w:val="both"/>
        <w:rPr>
          <w:rFonts w:ascii="Times New Roman" w:hAnsi="Times New Roman" w:eastAsia="Times New Roman"/>
          <w:color w:val="000000"/>
          <w:spacing w:val="-6" spc="45"/>
          <w:sz w:val="24"/>
          <w:szCs w:val="24"/>
          <w:lang w:eastAsia="ru-ru" w:bidi="ru-ru"/>
        </w:rPr>
      </w:pPr>
      <w:r>
        <w:rPr>
          <w:rFonts w:ascii="Times New Roman" w:hAnsi="Times New Roman" w:eastAsia="Times New Roman"/>
          <w:color w:val="000000"/>
          <w:spacing w:val="-6" spc="45"/>
          <w:sz w:val="24"/>
          <w:szCs w:val="24"/>
          <w:lang w:eastAsia="ru-ru" w:bidi="ru-ru"/>
        </w:rPr>
        <w:t>Уже в начале двадцатого века ученые начали изучать вопросы психопатологии родителей и ее связь с проблемами развития у детей. Д. Леви указывал на гиперопеку со стороны матери как одну из причин психологических сложностей ребенка. Ф. Фромм-Райхман ввела понятие «шизофреногенная мать» — агрессивная, отвергающая. В более поздних исследованиях стали рассматривать влияние обоих родителей. Стоит также отметить работы А. С. Макаренко, который писал о важности родительского авторитета. Родительский авторитет может искажать родительскую позицию, если является ложным (цель такого авторитета — подчинение детей).</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современных психолого-педагогических исследованиях семьи многократно подчеркивается, что деструктивные позиции родителей являются фактором риска нарушений эмоционального и личностного развития ребенка (А. Я. Варга, А. И. Захаров, О. А. Карабанова, А. С. Спиваковская, Э. Г. Эйдемиллер, В. В. Юртайкин, В. В. Ткачева, О. Г. Приходько, О. В. Югова).</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Р. Р. Калинина со ссылкой на И. Шефер выделяет несколько разновидностей родительского поведения в системе координат «неприятие — расположение» и «гиперопека — гипоопека» [3] и описывает в зависимости от типа родительской позиции вероятные сложности </w:t>
        <w:br w:type="textWrapping"/>
        <w:t>у ребенка, его сильные и слабые стороны (см. рис.):</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
        <w:rPr>
          <w:noProof/>
        </w:rPr>
        <w:drawing>
          <wp:inline distT="0" distB="0" distL="0" distR="0">
            <wp:extent cx="3098800" cy="2866390"/>
            <wp:effectExtent l="0" t="0" r="0" b="0"/>
            <wp:docPr id="3" name="Изображение1"/>
            <wp:cNvGraphicFramePr/>
            <a:graphic xmlns:a="http://schemas.openxmlformats.org/drawingml/2006/main">
              <a:graphicData uri="http://schemas.openxmlformats.org/drawingml/2006/picture">
                <pic:pic xmlns:pic="http://schemas.openxmlformats.org/drawingml/2006/picture">
                  <pic:nvPicPr>
                    <pic:cNvPr id="3" name="Изображение1"/>
                    <pic:cNvPicPr>
                      <a:codePr string="" type="163692672" text="1"/>
                      <a:extLst>
                        <a:ext uri="sm">
                          <sm:smNativeData xmlns:sm="sm" val="SMDATA_17_A3dgZ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BATAACiEQAAEBMAAKIR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YAAAAB6AAAAAAAAAAAAAAAAAAAAIAAAAAAAAAAAAAAAIAAAAAAAAAEBMAAKIRAAAAAAAAAAAAAAAAAAAoAAAACAAAAAEAAAABAAAAMAAAABQAAAAAAAAAAAD//wAAAQAAAP//AAABAA=="/>
                        </a:ext>
                      </a:extLst>
                    </pic:cNvPicPr>
                  </pic:nvPicPr>
                  <pic:blipFill>
                    <a:blip r:embed="rId12"/>
                    <a:stretch>
                      <a:fillRect/>
                    </a:stretch>
                  </pic:blipFill>
                  <pic:spPr>
                    <a:xfrm>
                      <a:off x="0" y="0"/>
                      <a:ext cx="3098800" cy="2866390"/>
                    </a:xfrm>
                    <a:prstGeom prst="rect">
                      <a:avLst/>
                    </a:prstGeom>
                    <a:noFill/>
                    <a:ln w="12700">
                      <a:noFill/>
                    </a:ln>
                  </pic:spPr>
                </pic:pic>
              </a:graphicData>
            </a:graphic>
          </wp:inline>
        </w:drawing>
      </w:r>
      <w: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tabs defTabSz="708">
          <w:tab w:val="left" w:pos="3283" w:leader="none"/>
          <w:tab w:val="center" w:pos="5173" w:leader="none"/>
        </w:tabs>
        <w:rPr>
          <w:rFonts w:ascii="Times New Roman" w:hAnsi="Times New Roman"/>
          <w:color w:val="000000"/>
          <w:sz w:val="24"/>
          <w:szCs w:val="24"/>
        </w:rPr>
      </w:pPr>
      <w:r>
        <w:rPr>
          <w:rFonts w:ascii="Times New Roman" w:hAnsi="Times New Roman"/>
          <w:color w:val="000000"/>
          <w:sz w:val="24"/>
          <w:szCs w:val="24"/>
        </w:rPr>
        <w:t>Типы родительских позиций [3]</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1. Чрезмерно оберегающие родители: дети зачастую не могут справляться с проблемами, сталкиваются с неудачами; имеют заниженную самооценку, стремление избегать сложных ситуаций.</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2. Гиперсоциальная требовательная позиция: дети имеют заниженную самооценку, подчинение социальным нормам из страха или отказ от соблюдения правил.</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3. Раздражительный, эмоционально лабильный родитель: детям сложно понять родителей, их требования, отношение; ребенок не уверен в себе, чувствует незащищенность.</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4. Авторитарный родитель: ребенок не уверен в себе, замкнут, недоверчив к окружающему миру; часто испытывает зависть, зависим от окружающих; проявляет агрессию, отрицает авторитет родителей.</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5. Устранившийся, раздражительный родитель: ребенку сложно сконцентрироваться; может проявлять агрессию к окружающим.</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6. Отсутствие воспитания как такового: ребенок склонен к тревожности, уходу от решения проблем.</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7. Либеральный родитель: у ребенка средняя самооценка, ориентируется на мнение других о себе.</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8. Гипертрофированная родительская любовь: возможно антисоциальное поведение, отказ от следования нормам, у ребенка завышенная самооценка.</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9. Авторитетные родители: ребенок достаточно независим, уверен в себе, дружелюбно настроен к окружающим.</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xml:space="preserve">10. Демократичные родители: у ребенка нормальная самооценка, умеет справляться с трудностями, дружелюбно настроен по отношению к окружающим.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последнее время внимание исследователей, занятых изучением весьма широкого круга проблем, связанных с детско-родительскими отношениями, привлек феномен виктимности. Виктимное поведение как вид отклоняющегося поведения связывается с наличием у индивида особой предрасположенности — виктимности. В нашем исследовании рассматривался феномен ролевой виктимности. По М. А. Одинцовой, ролевая виктимность — предрасположенность индивида в силу неблагоприятных объективных и специфических субъективных факторов продуцировать тот или иной тип поведения жертвы, выражающийся в позиции либо в статусе жертвы, а также в их динамическом воплощении: социальной или игровой роли жертвы [4; 5; 6].</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Несмотря на то, что в психологических трудах освещен широкий круг проблем, связанных с детско-родительскими отношениями и феноменом виктимности, связь уровня ролевой виктимности личности с ее родительской позицией и поведением ребенка исследована в недостаточной степени [8]. Целью нашего исследования стало изучение взаимосвязи уровня ролевой виктимности родителей с особенностями поведения их детей. Родительская позиция рассматривалась в качестве дополнительной переменной исследования.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 соответствии с концепцией М. А. Одинцовой, в исследовании рассматривались два измерения ролевой роли жертвы — игровая и социальная роли. </w:t>
      </w:r>
      <w:r>
        <w:rPr>
          <w:rFonts w:ascii="Times New Roman" w:hAnsi="Times New Roman"/>
          <w:b/>
          <w:color w:val="000000"/>
          <w:sz w:val="24"/>
          <w:szCs w:val="24"/>
        </w:rPr>
        <w:t>Игровая роль жертвы</w:t>
      </w:r>
      <w:r>
        <w:rPr>
          <w:rFonts w:ascii="Times New Roman" w:hAnsi="Times New Roman"/>
          <w:color w:val="000000"/>
          <w:sz w:val="24"/>
          <w:szCs w:val="24"/>
        </w:rPr>
        <w:t xml:space="preserve"> позволяет человеку использовать внешний ресурс для защиты внутренней проблемы, манипулировать другими для получения поддержки. К основным характеристикам игровой роли жертвы можно отнести инфантилизм, демонстративность, боязнь ответственности, экстернальность, рентные установки, склонность к манипулированию окружающими. Формирование </w:t>
      </w:r>
      <w:r>
        <w:rPr>
          <w:rStyle w:val="char17"/>
          <w:rFonts w:ascii="Times New Roman" w:hAnsi="Times New Roman"/>
          <w:color w:val="000000"/>
          <w:sz w:val="24"/>
          <w:szCs w:val="24"/>
        </w:rPr>
        <w:t xml:space="preserve">социальной роли жертвы </w:t>
      </w:r>
      <w:r>
        <w:rPr>
          <w:rStyle w:val="char17"/>
          <w:rFonts w:ascii="Times New Roman" w:hAnsi="Times New Roman"/>
          <w:b w:val="0"/>
          <w:color w:val="000000"/>
          <w:sz w:val="24"/>
          <w:szCs w:val="24"/>
        </w:rPr>
        <w:t>—</w:t>
      </w:r>
      <w:r>
        <w:rPr>
          <w:rStyle w:val="char17"/>
          <w:rFonts w:ascii="Times New Roman" w:hAnsi="Times New Roman"/>
          <w:b w:val="0"/>
          <w:color w:val="000000"/>
          <w:sz w:val="24"/>
          <w:szCs w:val="24"/>
        </w:rPr>
        <w:t xml:space="preserve"> </w:t>
      </w:r>
      <w:r>
        <w:rPr>
          <w:rFonts w:ascii="Times New Roman" w:hAnsi="Times New Roman"/>
          <w:color w:val="000000"/>
          <w:sz w:val="24"/>
          <w:szCs w:val="24"/>
        </w:rPr>
        <w:t xml:space="preserve">результат навязанных, ситуативных отношений, способствующих стигматизации индивида, которые приводят к деформации возможности построения его жизнедеятельности на ближайшую и отдаленную перспективу. Социальная роль жертвы связана с различными типами </w:t>
      </w:r>
      <w:r>
        <w:rPr>
          <w:rFonts w:ascii="Times New Roman" w:hAnsi="Times New Roman"/>
          <w:color w:val="000000"/>
          <w:sz w:val="24"/>
          <w:szCs w:val="24"/>
        </w:rPr>
        <w:t>аутсайдерства</w:t>
      </w:r>
      <w:r>
        <w:rPr>
          <w:rFonts w:ascii="Times New Roman" w:hAnsi="Times New Roman"/>
          <w:color w:val="000000"/>
          <w:sz w:val="24"/>
          <w:szCs w:val="24"/>
        </w:rPr>
        <w:t>. Человека не покидает ощущение, что он изгой, окружающий мир кажется ему враждебным, он чувствует себя одиноким и ненужным и глубоко страдает по этому поводу. Склонность обвинять в случившемся обстоятельства сочетается с самообвинениями, обидчивостью, склонностью считать других людей более привлекательными и более успешными, чем он сам. В отличие от игровой роли жертвы, в социальной роли отсутствует манипулятивный компонент. Кроме этого, такой индивид менее гибок в отношениях с другими людьми, труднее адаптируется в социуме, не уверен, что способен изменить свою жизнь, считает неудачником и обвиняет других в собственных несчастьях [5</w:t>
      </w:r>
      <w:r>
        <w:rPr>
          <w:rFonts w:ascii="Times New Roman" w:hAnsi="Times New Roman"/>
          <w:color w:val="000000"/>
          <w:sz w:val="24"/>
          <w:szCs w:val="24"/>
        </w:rPr>
        <w:t>;</w:t>
      </w:r>
      <w:r>
        <w:rPr>
          <w:rFonts w:ascii="Times New Roman" w:hAnsi="Times New Roman"/>
          <w:color w:val="000000"/>
          <w:sz w:val="24"/>
          <w:szCs w:val="24"/>
        </w:rPr>
        <w:t xml:space="preserve"> 6].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Выборку исследования составили 47 человек в возрасте от 26 до 59 лет. Количество детей у испытуемых различное. Возраст детей находится в диапазоне от 3 до 16 лет. Диагностический инструментарий исследования составили методика изучения родительских установок (РARI), авторы Е. С. Шефер и Р. К. Белл (1958); адаптация Т. В. Нещерет (1980); опросник «Тип ролевой виктимности» М. А. Одинцовой; опросник «Сильные стороны и трудности» Р. Гудмана (2001). Для оценки значимости связей между шкалами методик использовался коэффициент ранговой корреляции Ч. Спирмена. Значимость различий между сравниваемыми группами оценивалась с использованием критерия U Манна — Уитни. </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Результаты исследования</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Корреляционный анализ выявил наличие статистически значимых связей между шкалами опросника «Тип ролевой виктимности» и шкалами методики PARI. Получена отрицательная корреляция между уровнем ролевой виктимности и удовлетворенностью родителем семейной ролью. Родители с высоким уровнем ролевой виктимности не удовлетворены своей семейной ролью и, как следствие, стараются освободиться от ведения хозяйства, воспитания детей, ищут способы чаще покидать дом.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зависимости от типа ролевой виктимности, родители используют различные стили поведения в семье. Родители с высоким уровнем общей ролевой виктимности считают себя зависимыми от семьи (r = 0,36, р &lt; 0,05) и менее удовлетворены ролью хозяйки/хозяина (r = 0,34, р &lt; 0,05). Родители с высоким уровнем игровой роли жертвы не удовлетворены своей семейной ролью (r = 0,294, р &lt; 0,05): корреляционная связь выявлена с признаком «неудовлетворенность ролью хозяйки» (r = 0,468, р &lt; 0,001). Также есть прямая связь на уровне тенденций показателей «игровая роль жертвы» и «семейные конфликты» (r = 0,24, р = 0,09), «безучастность мужа» (r = 0,27, р = 0,072). Родители с высоким уровнем социальной роли жертвы не удовлетворены ролью хозяйки (r = 0,29, р &lt; 0,05) и ощущают свою несамостоятельность (r = 0,39, р &lt; 0,01). При этом такие родители склонны преуменьшать свои заслуги и не ждут благодарности от детей (r = ‒ 0,27, р = 0,06).</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Исследование особенностей поведения детей с использованием опросника «Сильные стороны и трудности» Р. Гудмана выявило, что родители с высоким баллом ролевой виктимности чаще сталкиваются с проблемами у своих детей. Из таблицы 1 мы видим, что выделенные группы достоверно различаются выраженностью признаков «эмоциональные симптомы», «проблемы с поведением» и «общее число проблем». Это говорит о том, что в семьях, где родители имеют высокие баллы ролевой виктимности, дети имеют психофизиологические признаки дистресса, высокую тревожность, неуверенность, страхи; могут быть агрессивны по отношению к другим, раздражительны, с трудом следуют правилам поведения.</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Таблица 1</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Результаты сравнительного анализа по U-критерию Манна — Уитни по данным</w:t>
        <w:br w:type="textWrapping"/>
        <w:t>опросников «Сильные стороны и трудности» и «Тип ролевой виктимности»</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4"/>
        <w:tabOrder w:val="0"/>
        <w:jc w:val="center"/>
        <w:tblInd w:w="0" w:type="dxa"/>
        <w:tblW w:w="9650" w:type="dxa"/>
        <w:pPr>
          <w:spacing w:after="0" w:line="240" w:lineRule="auto"/>
          <w:jc w:val="center"/>
          <w:suppressAutoHyphens/>
          <w:hyphenationLines w:val="0"/>
          <w:widowControl w:val="0"/>
        </w:pPr>
        <w:tblLook w:val="0600" w:firstRow="0" w:lastRow="0" w:firstColumn="0" w:lastColumn="0" w:noHBand="1" w:noVBand="1"/>
      </w:tblPr>
      <w:tblGrid>
        <w:gridCol w:w="3368"/>
        <w:gridCol w:w="967"/>
        <w:gridCol w:w="967"/>
        <w:gridCol w:w="967"/>
        <w:gridCol w:w="1297"/>
        <w:gridCol w:w="955"/>
        <w:gridCol w:w="1129"/>
      </w:tblGrid>
      <w:tr>
        <w:trPr>
          <w:tblHeader w:val="0"/>
          <w:trKeepWithNext w:val="0"/>
          <w:trBreak w:val="0"/>
          <w:cantSplit w:val="0"/>
          <w:trHeight w:val="347" w:hRule="atLeast"/>
        </w:trPr>
        <w:tc>
          <w:tcPr>
            <w:tcW w:w="3368" w:type="dxa"/>
            <w:vMerge w:val="restart"/>
            <w:vAlign w:val="center"/>
            <w:shd w:val="none"/>
            <w:tcMar>
              <w:top w:w="10" w:type="dxa"/>
              <w:left w:w="10" w:type="dxa"/>
              <w:bottom w:w="0" w:type="dxa"/>
              <w:right w:w="10" w:type="dxa"/>
            </w:tcMar>
            <w:tcBorders>
              <w:top w:val="single" w:sz="4" w:space="0" w:color="000000" tmln="10, 20, 20, 0, 0"/>
              <w:left w:val="single" w:sz="8" w:space="0" w:color="000000" tmln="20, 20, 20, 0, 0"/>
              <w:right w:val="single" w:sz="4" w:space="0" w:color="000000" tmln="10, 20, 20, 0, 0"/>
            </w:tcBorders>
            <w:tmTcPr id="1700820739" protected="0"/>
          </w:tcPr>
          <w:p>
            <w:pPr>
              <w:spacing w:after="0" w:line="240" w:lineRule="auto"/>
              <w:jc w:val="center"/>
              <w:rPr>
                <w:rFonts w:ascii="Times New Roman" w:hAnsi="Times New Roman" w:eastAsia="Times New Roman"/>
                <w:b/>
                <w:color w:val="000000"/>
                <w:kern w:val="1" kern="1"/>
                <w:sz w:val="24"/>
                <w:szCs w:val="24"/>
                <w:lang w:eastAsia="ru-ru"/>
              </w:rPr>
            </w:pPr>
            <w:r>
              <w:rPr>
                <w:rFonts w:ascii="Times New Roman" w:hAnsi="Times New Roman" w:eastAsia="Times New Roman"/>
                <w:b/>
                <w:color w:val="000000"/>
                <w:kern w:val="1" kern="1"/>
                <w:sz w:val="24"/>
                <w:szCs w:val="24"/>
                <w:lang w:eastAsia="ru-ru"/>
              </w:rPr>
              <w:t>Шкалы опросника</w:t>
            </w:r>
          </w:p>
          <w:p>
            <w:pPr>
              <w:spacing w:after="0" w:line="240" w:lineRule="auto"/>
              <w:jc w:val="center"/>
              <w:rPr>
                <w:rFonts w:ascii="Times New Roman" w:hAnsi="Times New Roman" w:eastAsia="Times New Roman"/>
                <w:b/>
                <w:color w:val="000000"/>
                <w:kern w:val="1" kern="1"/>
                <w:sz w:val="24"/>
                <w:szCs w:val="24"/>
                <w:lang w:eastAsia="ru-ru"/>
              </w:rPr>
            </w:pPr>
            <w:r>
              <w:rPr>
                <w:rFonts w:ascii="Times New Roman" w:hAnsi="Times New Roman" w:eastAsia="Times New Roman"/>
                <w:b/>
                <w:color w:val="000000"/>
                <w:kern w:val="1" kern="1"/>
                <w:sz w:val="24"/>
                <w:szCs w:val="24"/>
                <w:lang w:eastAsia="ru-ru"/>
              </w:rPr>
              <w:t>Гудмана</w:t>
            </w:r>
          </w:p>
        </w:tc>
        <w:tc>
          <w:tcPr>
            <w:tcW w:w="4198" w:type="dxa"/>
            <w:gridSpan w:val="4"/>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b/>
                <w:color w:val="000000"/>
                <w:kern w:val="1" kern="1"/>
                <w:sz w:val="24"/>
                <w:szCs w:val="24"/>
                <w:lang w:eastAsia="ru-ru"/>
              </w:rPr>
            </w:pPr>
            <w:r>
              <w:rPr>
                <w:rFonts w:ascii="Times New Roman" w:hAnsi="Times New Roman" w:eastAsia="Times New Roman"/>
                <w:b/>
                <w:color w:val="000000"/>
                <w:kern w:val="1" kern="1"/>
                <w:sz w:val="24"/>
                <w:szCs w:val="24"/>
                <w:lang w:eastAsia="ru-ru"/>
              </w:rPr>
              <w:t>Уровень ролевой</w:t>
            </w:r>
            <w:r>
              <w:rPr>
                <w:rFonts w:ascii="Times New Roman" w:hAnsi="Times New Roman" w:eastAsia="Times New Roman"/>
                <w:b/>
                <w:color w:val="000000"/>
                <w:sz w:val="24"/>
                <w:szCs w:val="24"/>
                <w:lang w:eastAsia="ru-ru"/>
              </w:rPr>
              <w:t xml:space="preserve"> </w:t>
            </w:r>
            <w:r>
              <w:rPr>
                <w:rFonts w:ascii="Times New Roman" w:hAnsi="Times New Roman" w:eastAsia="Times New Roman"/>
                <w:b/>
                <w:color w:val="000000"/>
                <w:kern w:val="1" kern="1"/>
                <w:sz w:val="24"/>
                <w:szCs w:val="24"/>
                <w:lang w:eastAsia="ru-ru"/>
              </w:rPr>
              <w:t>виктимности</w:t>
            </w:r>
            <w:r>
              <w:rPr>
                <w:rFonts w:ascii="Times New Roman" w:hAnsi="Times New Roman" w:eastAsia="Times New Roman"/>
                <w:b/>
                <w:color w:val="000000"/>
                <w:kern w:val="1" kern="1"/>
                <w:sz w:val="24"/>
                <w:szCs w:val="24"/>
                <w:lang w:eastAsia="ru-ru"/>
              </w:rPr>
            </w:r>
          </w:p>
        </w:tc>
        <w:tc>
          <w:tcPr>
            <w:tcW w:w="955" w:type="dxa"/>
            <w:vMerge w:val="restart"/>
            <w:vAlign w:val="center"/>
            <w:shd w:val="none"/>
            <w:tcMar>
              <w:top w:w="10" w:type="dxa"/>
              <w:left w:w="10" w:type="dxa"/>
              <w:bottom w:w="0" w:type="dxa"/>
              <w:right w:w="10" w:type="dxa"/>
            </w:tcMar>
            <w:tcBorders>
              <w:top w:val="single" w:sz="4" w:space="0" w:color="000000" tmln="10, 20, 20, 0, 0"/>
              <w:left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b/>
                <w:color w:val="000000"/>
                <w:kern w:val="1" kern="1"/>
                <w:sz w:val="24"/>
                <w:szCs w:val="24"/>
                <w:lang w:eastAsia="ru-ru"/>
              </w:rPr>
            </w:pPr>
            <w:r>
              <w:rPr>
                <w:rFonts w:ascii="Times New Roman" w:hAnsi="Times New Roman" w:eastAsia="Times New Roman"/>
                <w:b/>
                <w:color w:val="000000"/>
                <w:kern w:val="1" kern="1"/>
                <w:sz w:val="24"/>
                <w:szCs w:val="24"/>
                <w:lang w:eastAsia="ru-ru"/>
              </w:rPr>
              <w:t>U</w:t>
            </w:r>
          </w:p>
        </w:tc>
        <w:tc>
          <w:tcPr>
            <w:tcW w:w="1129" w:type="dxa"/>
            <w:vMerge w:val="restart"/>
            <w:vAlign w:val="center"/>
            <w:shd w:val="none"/>
            <w:tcMar>
              <w:top w:w="10" w:type="dxa"/>
              <w:left w:w="10" w:type="dxa"/>
              <w:bottom w:w="0" w:type="dxa"/>
              <w:right w:w="10" w:type="dxa"/>
            </w:tcMar>
            <w:tcBorders>
              <w:top w:val="single" w:sz="4" w:space="0" w:color="000000" tmln="10, 20, 20, 0, 0"/>
              <w:left w:val="single" w:sz="4" w:space="0" w:color="000000" tmln="10, 20, 20, 0, 0"/>
              <w:right w:val="single" w:sz="8" w:space="0" w:color="000000" tmln="20, 20, 20, 0, 0"/>
            </w:tcBorders>
            <w:tmTcPr id="1700820739" protected="0"/>
          </w:tcPr>
          <w:p>
            <w:pPr>
              <w:spacing w:after="0" w:line="240" w:lineRule="auto"/>
              <w:jc w:val="center"/>
              <w:rPr>
                <w:rFonts w:ascii="Times New Roman" w:hAnsi="Times New Roman" w:eastAsia="Times New Roman"/>
                <w:b/>
                <w:color w:val="000000"/>
                <w:kern w:val="1" kern="1"/>
                <w:sz w:val="24"/>
                <w:szCs w:val="24"/>
                <w:lang w:eastAsia="ru-ru"/>
              </w:rPr>
            </w:pPr>
            <w:r>
              <w:rPr>
                <w:rFonts w:ascii="Times New Roman" w:hAnsi="Times New Roman" w:eastAsia="Times New Roman"/>
                <w:b/>
                <w:color w:val="000000"/>
                <w:kern w:val="1" kern="1"/>
                <w:sz w:val="24"/>
                <w:szCs w:val="24"/>
                <w:lang w:eastAsia="ru-ru"/>
              </w:rPr>
              <w:t>p</w:t>
            </w:r>
          </w:p>
        </w:tc>
      </w:tr>
      <w:tr>
        <w:trPr>
          <w:tblHeader w:val="0"/>
          <w:trKeepWithNext w:val="0"/>
          <w:trBreak w:val="0"/>
          <w:cantSplit w:val="0"/>
          <w:trHeight w:val="237" w:hRule="atLeast"/>
        </w:trPr>
        <w:tc>
          <w:tcPr>
            <w:tcW w:w="3368" w:type="dxa"/>
            <w:vMerge/>
            <w:vAlign w:val="bottom"/>
            <w:shd w:val="none"/>
            <w:tcMar>
              <w:top w:w="10" w:type="dxa"/>
              <w:left w:w="10" w:type="dxa"/>
              <w:bottom w:w="0" w:type="dxa"/>
              <w:right w:w="10" w:type="dxa"/>
            </w:tcMar>
            <w:tcBorders>
              <w:left w:val="single" w:sz="8" w:space="0" w:color="000000" tmln="20, 20, 20, 0, 0"/>
              <w:right w:val="single" w:sz="4" w:space="0" w:color="000000" tmln="10, 20, 20, 0, 0"/>
            </w:tcBorders>
            <w:tmTcPr id="1700820739" protected="0"/>
          </w:tcPr>
          <w:p/>
        </w:tc>
        <w:tc>
          <w:tcPr>
            <w:tcW w:w="1934" w:type="dxa"/>
            <w:gridSpan w:val="2"/>
            <w:vAlign w:val="center"/>
            <w:shd w:val="none"/>
            <w:tcMar>
              <w:top w:w="10" w:type="dxa"/>
              <w:left w:w="10" w:type="dxa"/>
              <w:bottom w:w="0" w:type="dxa"/>
              <w:right w:w="10" w:type="dxa"/>
            </w:tcMar>
            <w:tcBorders>
              <w:top w:val="single" w:sz="8" w:space="0" w:color="000000" tmln="2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kern="1"/>
                <w:sz w:val="24"/>
                <w:szCs w:val="24"/>
                <w:lang w:eastAsia="ru-ru"/>
              </w:rPr>
              <w:t>Низкий</w:t>
            </w:r>
            <w:r>
              <w:rPr>
                <w:rFonts w:ascii="Times New Roman" w:hAnsi="Times New Roman" w:eastAsia="Times New Roman"/>
                <w:b/>
                <w:color w:val="000000"/>
                <w:sz w:val="24"/>
                <w:szCs w:val="24"/>
                <w:lang w:eastAsia="ru-ru"/>
              </w:rPr>
            </w:r>
          </w:p>
        </w:tc>
        <w:tc>
          <w:tcPr>
            <w:tcW w:w="2264" w:type="dxa"/>
            <w:gridSpan w:val="2"/>
            <w:vAlign w:val="center"/>
            <w:shd w:val="none"/>
            <w:tcMar>
              <w:top w:w="10" w:type="dxa"/>
              <w:left w:w="10" w:type="dxa"/>
              <w:bottom w:w="0" w:type="dxa"/>
              <w:right w:w="10" w:type="dxa"/>
            </w:tcMar>
            <w:tcBorders>
              <w:top w:val="single" w:sz="8" w:space="0" w:color="000000" tmln="2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kern="1"/>
                <w:sz w:val="24"/>
                <w:szCs w:val="24"/>
                <w:lang w:eastAsia="ru-ru"/>
              </w:rPr>
              <w:t>Высокий</w:t>
            </w:r>
            <w:r>
              <w:rPr>
                <w:rFonts w:ascii="Times New Roman" w:hAnsi="Times New Roman" w:eastAsia="Times New Roman"/>
                <w:b/>
                <w:color w:val="000000"/>
                <w:sz w:val="24"/>
                <w:szCs w:val="24"/>
                <w:lang w:eastAsia="ru-ru"/>
              </w:rPr>
            </w:r>
          </w:p>
        </w:tc>
        <w:tc>
          <w:tcPr>
            <w:tcW w:w="955" w:type="dxa"/>
            <w:vMerge/>
            <w:vAlign w:val="center"/>
            <w:shd w:val="none"/>
            <w:tcMar>
              <w:top w:w="10" w:type="dxa"/>
              <w:left w:w="10" w:type="dxa"/>
              <w:bottom w:w="0" w:type="dxa"/>
              <w:right w:w="10" w:type="dxa"/>
            </w:tcMar>
            <w:tcBorders>
              <w:left w:val="single" w:sz="4" w:space="0" w:color="000000" tmln="10, 20, 20, 0, 0"/>
              <w:right w:val="single" w:sz="4" w:space="0" w:color="000000" tmln="10, 20, 20, 0, 0"/>
            </w:tcBorders>
            <w:tmTcPr id="1700820739" protected="0"/>
          </w:tcPr>
          <w:p/>
        </w:tc>
        <w:tc>
          <w:tcPr>
            <w:tcW w:w="1129" w:type="dxa"/>
            <w:vMerge/>
            <w:vAlign w:val="center"/>
            <w:shd w:val="none"/>
            <w:tcMar>
              <w:top w:w="10" w:type="dxa"/>
              <w:left w:w="10" w:type="dxa"/>
              <w:bottom w:w="0" w:type="dxa"/>
              <w:right w:w="10" w:type="dxa"/>
            </w:tcMar>
            <w:tcBorders>
              <w:left w:val="single" w:sz="4" w:space="0" w:color="000000" tmln="10, 20, 20, 0, 0"/>
              <w:right w:val="single" w:sz="8" w:space="0" w:color="000000" tmln="20, 20, 20, 0, 0"/>
            </w:tcBorders>
            <w:tmTcPr id="1700820739" protected="0"/>
          </w:tcPr>
          <w:p/>
        </w:tc>
      </w:tr>
      <w:tr>
        <w:trPr>
          <w:tblHeader w:val="0"/>
          <w:trKeepWithNext w:val="0"/>
          <w:trBreak w:val="0"/>
          <w:cantSplit w:val="0"/>
          <w:trHeight w:val="235" w:hRule="atLeast"/>
        </w:trPr>
        <w:tc>
          <w:tcPr>
            <w:tcW w:w="3368" w:type="dxa"/>
            <w:vMerge/>
            <w:vAlign w:val="center"/>
            <w:tcMar>
              <w:left w:w="0" w:type="dxa"/>
              <w:right w:w="0" w:type="dxa"/>
            </w:tcMar>
            <w:tcBorders>
              <w:left w:val="single" w:sz="8" w:space="0" w:color="000000" tmln="20, 20, 20, 0, 0"/>
              <w:bottom w:val="single" w:sz="4" w:space="0" w:color="000000" tmln="10, 20, 20, 0, 0"/>
              <w:right w:val="single" w:sz="4" w:space="0" w:color="000000" tmln="10, 20, 20, 0, 0"/>
            </w:tcBorders>
            <w:tmTcPr id="1700820739" protected="0"/>
          </w:tcP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kern="1"/>
                <w:sz w:val="24"/>
                <w:szCs w:val="24"/>
                <w:lang w:eastAsia="ru-ru"/>
              </w:rPr>
              <w:t>M</w:t>
            </w:r>
            <w:r>
              <w:rPr>
                <w:rFonts w:ascii="Times New Roman" w:hAnsi="Times New Roman" w:eastAsia="Times New Roman"/>
                <w:b/>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kern="1"/>
                <w:sz w:val="24"/>
                <w:szCs w:val="24"/>
                <w:lang w:eastAsia="ru-ru"/>
              </w:rPr>
              <w:t>SD</w:t>
            </w:r>
            <w:r>
              <w:rPr>
                <w:rFonts w:ascii="Times New Roman" w:hAnsi="Times New Roman" w:eastAsia="Times New Roman"/>
                <w:b/>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kern="1"/>
                <w:sz w:val="24"/>
                <w:szCs w:val="24"/>
                <w:lang w:eastAsia="ru-ru"/>
              </w:rPr>
              <w:t>M</w:t>
            </w:r>
            <w:r>
              <w:rPr>
                <w:rFonts w:ascii="Times New Roman" w:hAnsi="Times New Roman" w:eastAsia="Times New Roman"/>
                <w:b/>
                <w:color w:val="000000"/>
                <w:sz w:val="24"/>
                <w:szCs w:val="24"/>
                <w:lang w:eastAsia="ru-ru"/>
              </w:rPr>
            </w:r>
          </w:p>
        </w:tc>
        <w:tc>
          <w:tcPr>
            <w:tcW w:w="129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kern="1"/>
                <w:sz w:val="24"/>
                <w:szCs w:val="24"/>
                <w:lang w:eastAsia="ru-ru"/>
              </w:rPr>
              <w:t>SD</w:t>
            </w:r>
            <w:r>
              <w:rPr>
                <w:rFonts w:ascii="Times New Roman" w:hAnsi="Times New Roman" w:eastAsia="Times New Roman"/>
                <w:b/>
                <w:color w:val="000000"/>
                <w:sz w:val="24"/>
                <w:szCs w:val="24"/>
                <w:lang w:eastAsia="ru-ru"/>
              </w:rPr>
            </w:r>
          </w:p>
        </w:tc>
        <w:tc>
          <w:tcPr>
            <w:tcW w:w="955" w:type="dxa"/>
            <w:vMerge/>
            <w:vAlign w:val="center"/>
            <w:tcMar>
              <w:left w:w="0" w:type="dxa"/>
              <w:right w:w="0" w:type="dxa"/>
            </w:tcMar>
            <w:tcBorders>
              <w:left w:val="single" w:sz="4" w:space="0" w:color="000000" tmln="10, 20, 20, 0, 0"/>
              <w:bottom w:val="single" w:sz="4" w:space="0" w:color="000000" tmln="10, 20, 20, 0, 0"/>
              <w:right w:val="single" w:sz="4" w:space="0" w:color="000000" tmln="10, 20, 20, 0, 0"/>
            </w:tcBorders>
            <w:tmTcPr id="1700820739" protected="0"/>
          </w:tcPr>
          <w:p/>
        </w:tc>
        <w:tc>
          <w:tcPr>
            <w:tcW w:w="1129" w:type="dxa"/>
            <w:vMerge/>
            <w:vAlign w:val="center"/>
            <w:tcMar>
              <w:left w:w="0" w:type="dxa"/>
              <w:right w:w="0" w:type="dxa"/>
            </w:tcMar>
            <w:tcBorders>
              <w:left w:val="single" w:sz="4" w:space="0" w:color="000000" tmln="10, 20, 20, 0, 0"/>
              <w:bottom w:val="single" w:sz="4" w:space="0" w:color="000000" tmln="10, 20, 20, 0, 0"/>
              <w:right w:val="single" w:sz="8" w:space="0" w:color="000000" tmln="20, 20, 20, 0, 0"/>
            </w:tcBorders>
            <w:tmTcPr id="1700820739" protected="0"/>
          </w:tcPr>
          <w:p/>
        </w:tc>
      </w:tr>
      <w:tr>
        <w:trPr>
          <w:tblHeader w:val="0"/>
          <w:trKeepWithNext w:val="0"/>
          <w:trBreak w:val="0"/>
          <w:cantSplit w:val="0"/>
          <w:trHeight w:val="523" w:hRule="atLeast"/>
        </w:trPr>
        <w:tc>
          <w:tcPr>
            <w:tcW w:w="3368" w:type="dxa"/>
            <w:vAlign w:val="center"/>
            <w:shd w:val="none"/>
            <w:tcMar>
              <w:top w:w="10" w:type="dxa"/>
              <w:left w:w="10" w:type="dxa"/>
              <w:bottom w:w="0" w:type="dxa"/>
              <w:right w:w="10" w:type="dxa"/>
            </w:tcMar>
            <w:tcBorders>
              <w:top w:val="single" w:sz="4" w:space="0" w:color="000000" tmln="10, 20, 20, 0, 0"/>
              <w:left w:val="single" w:sz="8" w:space="0" w:color="000000" tmln="2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Общее число проблем</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6,00</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3,16</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12,88</w:t>
            </w:r>
            <w:r>
              <w:rPr>
                <w:rFonts w:ascii="Times New Roman" w:hAnsi="Times New Roman" w:eastAsia="Times New Roman"/>
                <w:color w:val="000000"/>
                <w:sz w:val="24"/>
                <w:szCs w:val="24"/>
                <w:lang w:eastAsia="ru-ru"/>
              </w:rPr>
            </w:r>
          </w:p>
        </w:tc>
        <w:tc>
          <w:tcPr>
            <w:tcW w:w="129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4,83</w:t>
            </w:r>
            <w:r>
              <w:rPr>
                <w:rFonts w:ascii="Times New Roman" w:hAnsi="Times New Roman" w:eastAsia="Times New Roman"/>
                <w:color w:val="000000"/>
                <w:sz w:val="24"/>
                <w:szCs w:val="24"/>
                <w:lang w:eastAsia="ru-ru"/>
              </w:rPr>
            </w:r>
          </w:p>
        </w:tc>
        <w:tc>
          <w:tcPr>
            <w:tcW w:w="955"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22,0</w:t>
            </w:r>
            <w:r>
              <w:rPr>
                <w:rFonts w:ascii="Times New Roman" w:hAnsi="Times New Roman" w:eastAsia="Times New Roman"/>
                <w:color w:val="000000"/>
                <w:sz w:val="24"/>
                <w:szCs w:val="24"/>
                <w:lang w:eastAsia="ru-ru"/>
              </w:rPr>
            </w:r>
          </w:p>
        </w:tc>
        <w:tc>
          <w:tcPr>
            <w:tcW w:w="1129"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0,000</w:t>
            </w:r>
            <w:r>
              <w:rPr>
                <w:rFonts w:ascii="Times New Roman" w:hAnsi="Times New Roman" w:eastAsia="Times New Roman"/>
                <w:color w:val="000000"/>
                <w:sz w:val="24"/>
                <w:szCs w:val="24"/>
                <w:lang w:eastAsia="ru-ru"/>
              </w:rPr>
            </w:r>
          </w:p>
        </w:tc>
      </w:tr>
      <w:tr>
        <w:trPr>
          <w:tblHeader w:val="0"/>
          <w:trKeepWithNext w:val="0"/>
          <w:trBreak w:val="0"/>
          <w:cantSplit w:val="0"/>
          <w:trHeight w:val="389" w:hRule="atLeast"/>
        </w:trPr>
        <w:tc>
          <w:tcPr>
            <w:tcW w:w="3368" w:type="dxa"/>
            <w:vAlign w:val="center"/>
            <w:shd w:val="none"/>
            <w:tcMar>
              <w:top w:w="10" w:type="dxa"/>
              <w:left w:w="10" w:type="dxa"/>
              <w:bottom w:w="0" w:type="dxa"/>
              <w:right w:w="10" w:type="dxa"/>
            </w:tcMar>
            <w:tcBorders>
              <w:top w:val="single" w:sz="4" w:space="0" w:color="000000" tmln="10, 20, 20, 0, 0"/>
              <w:left w:val="single" w:sz="8" w:space="0" w:color="000000" tmln="2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Эмоциональные симптомы</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0,85</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1,07</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2,38</w:t>
            </w:r>
            <w:r>
              <w:rPr>
                <w:rFonts w:ascii="Times New Roman" w:hAnsi="Times New Roman" w:eastAsia="Times New Roman"/>
                <w:color w:val="000000"/>
                <w:sz w:val="24"/>
                <w:szCs w:val="24"/>
                <w:lang w:eastAsia="ru-ru"/>
              </w:rPr>
            </w:r>
          </w:p>
        </w:tc>
        <w:tc>
          <w:tcPr>
            <w:tcW w:w="129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2,09</w:t>
            </w:r>
            <w:r>
              <w:rPr>
                <w:rFonts w:ascii="Times New Roman" w:hAnsi="Times New Roman" w:eastAsia="Times New Roman"/>
                <w:color w:val="000000"/>
                <w:sz w:val="24"/>
                <w:szCs w:val="24"/>
                <w:lang w:eastAsia="ru-ru"/>
              </w:rPr>
            </w:r>
          </w:p>
        </w:tc>
        <w:tc>
          <w:tcPr>
            <w:tcW w:w="955"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56,5</w:t>
            </w:r>
            <w:r>
              <w:rPr>
                <w:rFonts w:ascii="Times New Roman" w:hAnsi="Times New Roman" w:eastAsia="Times New Roman"/>
                <w:color w:val="000000"/>
                <w:sz w:val="24"/>
                <w:szCs w:val="24"/>
                <w:lang w:eastAsia="ru-ru"/>
              </w:rPr>
            </w:r>
          </w:p>
        </w:tc>
        <w:tc>
          <w:tcPr>
            <w:tcW w:w="1129"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0,032</w:t>
            </w:r>
            <w:r>
              <w:rPr>
                <w:rFonts w:ascii="Times New Roman" w:hAnsi="Times New Roman" w:eastAsia="Times New Roman"/>
                <w:color w:val="000000"/>
                <w:sz w:val="24"/>
                <w:szCs w:val="24"/>
                <w:lang w:eastAsia="ru-ru"/>
              </w:rPr>
            </w:r>
          </w:p>
        </w:tc>
      </w:tr>
      <w:tr>
        <w:trPr>
          <w:tblHeader w:val="0"/>
          <w:trKeepWithNext w:val="0"/>
          <w:trBreak w:val="0"/>
          <w:cantSplit w:val="0"/>
          <w:trHeight w:val="408" w:hRule="atLeast"/>
        </w:trPr>
        <w:tc>
          <w:tcPr>
            <w:tcW w:w="3368" w:type="dxa"/>
            <w:vAlign w:val="center"/>
            <w:shd w:val="none"/>
            <w:tcMar>
              <w:top w:w="10" w:type="dxa"/>
              <w:left w:w="10" w:type="dxa"/>
              <w:bottom w:w="0" w:type="dxa"/>
              <w:right w:w="10" w:type="dxa"/>
            </w:tcMar>
            <w:tcBorders>
              <w:top w:val="single" w:sz="4" w:space="0" w:color="000000" tmln="10, 20, 20, 0, 0"/>
              <w:left w:val="single" w:sz="8" w:space="0" w:color="000000" tmln="20, 20, 20, 0, 0"/>
              <w:bottom w:val="single" w:sz="8" w:space="0" w:color="000000" tmln="20, 20, 20, 0, 0"/>
              <w:right w:val="single" w:sz="4" w:space="0" w:color="000000" tmln="10, 20, 20, 0, 0"/>
            </w:tcBorders>
            <w:tmTcPr id="1700820739" protected="0"/>
          </w:tcPr>
          <w:p>
            <w:pPr>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Проблемы с поведением</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8" w:space="0" w:color="000000" tmln="2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0,92</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8" w:space="0" w:color="000000" tmln="2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0,86</w:t>
            </w:r>
            <w:r>
              <w:rPr>
                <w:rFonts w:ascii="Times New Roman" w:hAnsi="Times New Roman" w:eastAsia="Times New Roman"/>
                <w:color w:val="000000"/>
                <w:sz w:val="24"/>
                <w:szCs w:val="24"/>
                <w:lang w:eastAsia="ru-ru"/>
              </w:rPr>
            </w:r>
          </w:p>
        </w:tc>
        <w:tc>
          <w:tcPr>
            <w:tcW w:w="96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8" w:space="0" w:color="000000" tmln="2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2,13</w:t>
            </w:r>
            <w:r>
              <w:rPr>
                <w:rFonts w:ascii="Times New Roman" w:hAnsi="Times New Roman" w:eastAsia="Times New Roman"/>
                <w:color w:val="000000"/>
                <w:sz w:val="24"/>
                <w:szCs w:val="24"/>
                <w:lang w:eastAsia="ru-ru"/>
              </w:rPr>
            </w:r>
          </w:p>
        </w:tc>
        <w:tc>
          <w:tcPr>
            <w:tcW w:w="1297"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8" w:space="0" w:color="000000" tmln="2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1,50</w:t>
            </w:r>
            <w:r>
              <w:rPr>
                <w:rFonts w:ascii="Times New Roman" w:hAnsi="Times New Roman" w:eastAsia="Times New Roman"/>
                <w:color w:val="000000"/>
                <w:sz w:val="24"/>
                <w:szCs w:val="24"/>
                <w:lang w:eastAsia="ru-ru"/>
              </w:rPr>
            </w:r>
          </w:p>
        </w:tc>
        <w:tc>
          <w:tcPr>
            <w:tcW w:w="955"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8" w:space="0" w:color="000000" tmln="2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55,5</w:t>
            </w:r>
            <w:r>
              <w:rPr>
                <w:rFonts w:ascii="Times New Roman" w:hAnsi="Times New Roman" w:eastAsia="Times New Roman"/>
                <w:color w:val="000000"/>
                <w:sz w:val="24"/>
                <w:szCs w:val="24"/>
                <w:lang w:eastAsia="ru-ru"/>
              </w:rPr>
            </w:r>
          </w:p>
        </w:tc>
        <w:tc>
          <w:tcPr>
            <w:tcW w:w="1129" w:type="dxa"/>
            <w:vAlign w:val="center"/>
            <w:shd w:val="none"/>
            <w:tcMar>
              <w:top w:w="10" w:type="dxa"/>
              <w:left w:w="10" w:type="dxa"/>
              <w:bottom w:w="0" w:type="dxa"/>
              <w:right w:w="10" w:type="dxa"/>
            </w:tcMar>
            <w:tcBorders>
              <w:top w:val="single" w:sz="4" w:space="0" w:color="000000" tmln="10, 20, 20, 0, 0"/>
              <w:left w:val="single" w:sz="4" w:space="0" w:color="000000" tmln="10, 20, 20, 0, 0"/>
              <w:bottom w:val="single" w:sz="8" w:space="0" w:color="000000" tmln="20, 20, 20, 0, 0"/>
              <w:right w:val="single" w:sz="8" w:space="0" w:color="000000" tmln="2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0,028</w:t>
            </w:r>
            <w:r>
              <w:rPr>
                <w:rFonts w:ascii="Times New Roman" w:hAnsi="Times New Roman" w:eastAsia="Times New Roman"/>
                <w:color w:val="000000"/>
                <w:sz w:val="24"/>
                <w:szCs w:val="24"/>
                <w:lang w:eastAsia="ru-ru"/>
              </w:rPr>
            </w:r>
          </w:p>
        </w:tc>
      </w:tr>
    </w:tbl>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Корреляционный анализ выявил наличие статистически значимых связей между шкалами опросника «Тип ролевой виктимности» и шкалами опросника Гудмана. Из таблицы 2 мы видим, что положительная корреляционная связь выявлена между показателями ролевой виктимности «Игровая роль жертвы» и оценками шкал «Общее число проблем» (r = 0,51, </w:t>
        <w:br w:type="textWrapping"/>
        <w:t xml:space="preserve">р ≤ 0,001), «Эмоциональные симптомы» (r = 0,34, р ≤ 0,05), «Проблемы с поведением» </w:t>
        <w:br w:type="textWrapping"/>
        <w:t>(r = 0,33, р ≤ 0,05), «Гиперактивность» (r = 0,45, р ≤ 0,001).</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Таблица 2</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Коэффициенты корреляции между шкалами опросников «Тип ролевой виктимности»</w:t>
        <w:br w:type="textWrapping"/>
        <w:t>и «Сильные стороны и трудности»</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r>
    </w:p>
    <w:tbl>
      <w:tblPr>
        <w:tblStyle w:val="TableNormal"/>
        <w:name w:val="Таблица5"/>
        <w:tabOrder w:val="0"/>
        <w:jc w:val="center"/>
        <w:tblInd w:w="0" w:type="dxa"/>
        <w:tblW w:w="9641" w:type="dxa"/>
        <w:pPr>
          <w:spacing w:after="0" w:line="240" w:lineRule="auto"/>
          <w:jc w:val="center"/>
          <w:suppressAutoHyphens/>
          <w:hyphenationLines w:val="0"/>
          <w:widowControl w:val="0"/>
        </w:pPr>
        <w:tblLook w:val="0600" w:firstRow="0" w:lastRow="0" w:firstColumn="0" w:lastColumn="0" w:noHBand="1" w:noVBand="1"/>
      </w:tblPr>
      <w:tblGrid>
        <w:gridCol w:w="2847"/>
        <w:gridCol w:w="1148"/>
        <w:gridCol w:w="1737"/>
        <w:gridCol w:w="1940"/>
        <w:gridCol w:w="1969"/>
      </w:tblGrid>
      <w:tr>
        <w:trPr>
          <w:tblHeader w:val="0"/>
          <w:trKeepWithNext w:val="0"/>
          <w:trBreak w:val="0"/>
          <w:cantSplit w:val="0"/>
          <w:trHeight w:val="592" w:hRule="atLeast"/>
        </w:trPr>
        <w:tc>
          <w:tcPr>
            <w:tcW w:w="3995" w:type="dxa"/>
            <w:gridSpan w:val="2"/>
            <w:vAlign w:val="center"/>
            <w:shd w:val="none"/>
            <w:tcMar>
              <w:top w:w="9" w:type="dxa"/>
              <w:left w:w="9" w:type="dxa"/>
              <w:bottom w:w="0" w:type="dxa"/>
              <w:right w:w="9" w:type="dxa"/>
            </w:tcMar>
            <w:tcBorders>
              <w:top w:val="single" w:sz="8" w:space="0" w:color="000000" tmln="20, 20, 20, 0, 0"/>
              <w:left w:val="single" w:sz="8" w:space="0" w:color="000000" tmln="20, 20, 20, 0, 0"/>
              <w:bottom w:val="single" w:sz="4" w:space="0" w:color="000000" tmln="10, 20, 20, 0, 0"/>
              <w:right w:val="single" w:sz="8" w:space="0" w:color="000000" tmln="20, 20, 20, 0, 0"/>
            </w:tcBorders>
            <w:tmTcPr id="1700820739" protected="0"/>
          </w:tcPr>
          <w:p>
            <w:pPr>
              <w:spacing w:after="0" w:line="240" w:lineRule="auto"/>
              <w:jc w:val="center"/>
              <w:rPr>
                <w:rFonts w:ascii="Times New Roman" w:hAnsi="Times New Roman" w:eastAsia="Times New Roman"/>
                <w:b/>
                <w:color w:val="000000"/>
                <w:kern w:val="1" kern="1"/>
                <w:sz w:val="24"/>
                <w:szCs w:val="24"/>
                <w:lang w:eastAsia="ru-ru"/>
              </w:rPr>
            </w:pPr>
            <w:r>
              <w:rPr>
                <w:rFonts w:ascii="Times New Roman" w:hAnsi="Times New Roman" w:eastAsia="Times New Roman"/>
                <w:b/>
                <w:color w:val="000000"/>
                <w:kern w:val="1" kern="1"/>
                <w:sz w:val="24"/>
                <w:szCs w:val="24"/>
                <w:lang w:eastAsia="ru-ru"/>
              </w:rPr>
              <w:t>Шкалы опросников</w:t>
            </w:r>
          </w:p>
        </w:tc>
        <w:tc>
          <w:tcPr>
            <w:tcW w:w="1737" w:type="dxa"/>
            <w:vAlign w:val="center"/>
            <w:shd w:val="none"/>
            <w:tcMar>
              <w:top w:w="9" w:type="dxa"/>
              <w:left w:w="9" w:type="dxa"/>
              <w:bottom w:w="0" w:type="dxa"/>
              <w:right w:w="9" w:type="dxa"/>
            </w:tcMar>
            <w:tcBorders>
              <w:top w:val="single" w:sz="8" w:space="0" w:color="000000" tmln="20, 20, 20, 0, 0"/>
              <w:left w:val="single" w:sz="8" w:space="0" w:color="000000" tmln="20, 20, 20, 0, 0"/>
              <w:bottom w:val="single" w:sz="4" w:space="0" w:color="000000" tmln="10, 20, 20, 0, 0"/>
              <w:right w:val="single" w:sz="8" w:space="0" w:color="000000" tmln="20, 20, 20, 0, 0"/>
            </w:tcBorders>
            <w:tmTcPr id="1700820739" protected="0"/>
          </w:tcPr>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kern="1"/>
                <w:sz w:val="24"/>
                <w:szCs w:val="24"/>
                <w:lang w:eastAsia="ru-ru"/>
              </w:rPr>
              <w:t>Игровая роль жертвы</w:t>
            </w:r>
            <w:r>
              <w:rPr>
                <w:rFonts w:ascii="Times New Roman" w:hAnsi="Times New Roman" w:eastAsia="Times New Roman"/>
                <w:b/>
                <w:color w:val="000000"/>
                <w:sz w:val="24"/>
                <w:szCs w:val="24"/>
                <w:lang w:eastAsia="ru-ru"/>
              </w:rPr>
            </w:r>
          </w:p>
        </w:tc>
        <w:tc>
          <w:tcPr>
            <w:tcW w:w="1940" w:type="dxa"/>
            <w:vAlign w:val="center"/>
            <w:shd w:val="none"/>
            <w:tcMar>
              <w:top w:w="9" w:type="dxa"/>
              <w:left w:w="9" w:type="dxa"/>
              <w:bottom w:w="0" w:type="dxa"/>
              <w:right w:w="9" w:type="dxa"/>
            </w:tcMar>
            <w:tcBorders>
              <w:top w:val="single" w:sz="8" w:space="0" w:color="000000" tmln="20, 20, 20, 0, 0"/>
              <w:left w:val="single" w:sz="8" w:space="0" w:color="000000" tmln="20, 20, 20, 0, 0"/>
              <w:bottom w:val="single" w:sz="4" w:space="0" w:color="000000" tmln="10, 20, 20, 0, 0"/>
              <w:right w:val="single" w:sz="8" w:space="0" w:color="000000" tmln="20, 20, 20, 0, 0"/>
            </w:tcBorders>
            <w:tmTcPr id="1700820739" protected="0"/>
          </w:tcPr>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kern="1"/>
                <w:sz w:val="24"/>
                <w:szCs w:val="24"/>
                <w:lang w:eastAsia="ru-ru"/>
              </w:rPr>
              <w:t>Социальная роль жертвы</w:t>
            </w:r>
            <w:r>
              <w:rPr>
                <w:rFonts w:ascii="Times New Roman" w:hAnsi="Times New Roman" w:eastAsia="Times New Roman"/>
                <w:b/>
                <w:color w:val="000000"/>
                <w:sz w:val="24"/>
                <w:szCs w:val="24"/>
                <w:lang w:eastAsia="ru-ru"/>
              </w:rPr>
            </w:r>
          </w:p>
        </w:tc>
        <w:tc>
          <w:tcPr>
            <w:tcW w:w="1969" w:type="dxa"/>
            <w:vAlign w:val="center"/>
            <w:shd w:val="none"/>
            <w:tcMar>
              <w:top w:w="9" w:type="dxa"/>
              <w:left w:w="9" w:type="dxa"/>
              <w:bottom w:w="0" w:type="dxa"/>
              <w:right w:w="9" w:type="dxa"/>
            </w:tcMar>
            <w:tcBorders>
              <w:top w:val="single" w:sz="8" w:space="0" w:color="000000" tmln="20, 20, 20, 0, 0"/>
              <w:left w:val="single" w:sz="8" w:space="0" w:color="000000" tmln="20, 20, 20, 0, 0"/>
              <w:bottom w:val="single" w:sz="4" w:space="0" w:color="000000" tmln="10, 20, 20, 0, 0"/>
              <w:right w:val="single" w:sz="8" w:space="0" w:color="000000" tmln="20, 20, 20, 0, 0"/>
            </w:tcBorders>
            <w:tmTcPr id="1700820739" protected="0"/>
          </w:tcPr>
          <w:p>
            <w:pPr>
              <w:spacing w:after="0" w:line="240" w:lineRule="auto"/>
              <w:jc w:val="center"/>
              <w:rPr>
                <w:rFonts w:ascii="Times New Roman" w:hAnsi="Times New Roman" w:eastAsia="Times New Roman"/>
                <w:b/>
                <w:color w:val="000000"/>
                <w:kern w:val="1" kern="1"/>
                <w:sz w:val="24"/>
                <w:szCs w:val="24"/>
                <w:lang w:eastAsia="ru-ru"/>
              </w:rPr>
            </w:pPr>
            <w:r>
              <w:rPr>
                <w:rFonts w:ascii="Times New Roman" w:hAnsi="Times New Roman" w:eastAsia="Times New Roman"/>
                <w:b/>
                <w:color w:val="000000"/>
                <w:kern w:val="1" kern="1"/>
                <w:sz w:val="24"/>
                <w:szCs w:val="24"/>
                <w:lang w:eastAsia="ru-ru"/>
              </w:rPr>
              <w:t>Общий балл</w:t>
            </w:r>
          </w:p>
          <w:p>
            <w:pPr>
              <w:spacing w:after="0"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kern w:val="1" kern="1"/>
                <w:sz w:val="24"/>
                <w:szCs w:val="24"/>
                <w:lang w:eastAsia="ru-ru"/>
              </w:rPr>
              <w:t>виктимности</w:t>
            </w:r>
            <w:r>
              <w:rPr>
                <w:rFonts w:ascii="Times New Roman" w:hAnsi="Times New Roman" w:eastAsia="Times New Roman"/>
                <w:b/>
                <w:color w:val="000000"/>
                <w:sz w:val="24"/>
                <w:szCs w:val="24"/>
                <w:lang w:eastAsia="ru-ru"/>
              </w:rPr>
            </w:r>
          </w:p>
        </w:tc>
      </w:tr>
      <w:tr>
        <w:trPr>
          <w:tblHeader w:val="0"/>
          <w:trKeepWithNext w:val="0"/>
          <w:trBreak w:val="0"/>
          <w:cantSplit w:val="0"/>
          <w:trHeight w:val="414" w:hRule="atLeast"/>
        </w:trPr>
        <w:tc>
          <w:tcPr>
            <w:tcW w:w="2847" w:type="dxa"/>
            <w:vMerge w:val="restart"/>
            <w:vAlign w:val="center"/>
            <w:shd w:val="none"/>
            <w:tcMar>
              <w:top w:w="9" w:type="dxa"/>
              <w:left w:w="9" w:type="dxa"/>
              <w:bottom w:w="0" w:type="dxa"/>
              <w:right w:w="9" w:type="dxa"/>
            </w:tcMar>
            <w:tcBorders>
              <w:top w:val="single" w:sz="4" w:space="0" w:color="000000" tmln="10, 20, 20, 0, 0"/>
              <w:left w:val="single" w:sz="8" w:space="0" w:color="000000" tmln="2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Общее число проблем</w:t>
            </w:r>
            <w:r>
              <w:rPr>
                <w:rFonts w:ascii="Times New Roman" w:hAnsi="Times New Roman" w:eastAsia="Times New Roman"/>
                <w:color w:val="000000"/>
                <w:sz w:val="24"/>
                <w:szCs w:val="24"/>
                <w:lang w:eastAsia="ru-ru"/>
              </w:rPr>
            </w:r>
          </w:p>
        </w:tc>
        <w:tc>
          <w:tcPr>
            <w:tcW w:w="1148" w:type="dxa"/>
            <w:vAlign w:val="center"/>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kern w:val="1" kern="1"/>
                <w:sz w:val="24"/>
                <w:szCs w:val="24"/>
                <w:lang w:eastAsia="ru-ru"/>
              </w:rPr>
            </w:pPr>
            <w:r>
              <w:rPr>
                <w:rFonts w:ascii="Times New Roman" w:hAnsi="Times New Roman" w:eastAsia="Times New Roman"/>
                <w:color w:val="000000"/>
                <w:kern w:val="1" kern="1"/>
                <w:sz w:val="24"/>
                <w:szCs w:val="24"/>
                <w:lang w:eastAsia="ru-ru"/>
              </w:rPr>
              <w:t>Rsp</w:t>
            </w:r>
          </w:p>
        </w:tc>
        <w:tc>
          <w:tcPr>
            <w:tcW w:w="1737"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0,51</w:t>
            </w:r>
            <w:r>
              <w:rPr>
                <w:rFonts w:ascii="Times New Roman" w:hAnsi="Times New Roman" w:eastAsia="Times New Roman"/>
                <w:color w:val="000000"/>
                <w:sz w:val="24"/>
                <w:szCs w:val="24"/>
                <w:lang w:eastAsia="ru-ru"/>
              </w:rPr>
            </w:r>
          </w:p>
        </w:tc>
        <w:tc>
          <w:tcPr>
            <w:tcW w:w="1940"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0,54</w:t>
            </w:r>
            <w:r>
              <w:rPr>
                <w:rFonts w:ascii="Times New Roman" w:hAnsi="Times New Roman" w:eastAsia="Times New Roman"/>
                <w:color w:val="000000"/>
                <w:sz w:val="24"/>
                <w:szCs w:val="24"/>
                <w:lang w:eastAsia="ru-ru"/>
              </w:rPr>
            </w:r>
          </w:p>
        </w:tc>
        <w:tc>
          <w:tcPr>
            <w:tcW w:w="1969"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0,50</w:t>
            </w:r>
            <w:r>
              <w:rPr>
                <w:rFonts w:ascii="Times New Roman" w:hAnsi="Times New Roman" w:eastAsia="Times New Roman"/>
                <w:color w:val="000000"/>
                <w:sz w:val="24"/>
                <w:szCs w:val="24"/>
                <w:lang w:eastAsia="ru-ru"/>
              </w:rPr>
            </w:r>
          </w:p>
        </w:tc>
      </w:tr>
      <w:tr>
        <w:trPr>
          <w:tblHeader w:val="0"/>
          <w:trKeepWithNext w:val="0"/>
          <w:trBreak w:val="0"/>
          <w:cantSplit w:val="0"/>
          <w:trHeight w:val="324" w:hRule="atLeast"/>
        </w:trPr>
        <w:tc>
          <w:tcPr>
            <w:tcW w:w="2847" w:type="dxa"/>
            <w:vMerge/>
            <w:vAlign w:val="center"/>
            <w:tcMar>
              <w:left w:w="0" w:type="dxa"/>
              <w:right w:w="0" w:type="dxa"/>
            </w:tcMar>
            <w:tcBorders>
              <w:top w:val="single" w:sz="4" w:space="0" w:color="000000" tmln="10, 20, 20, 0, 0"/>
              <w:left w:val="single" w:sz="8" w:space="0" w:color="000000" tmln="20, 20, 20, 0, 0"/>
              <w:bottom w:val="single" w:sz="4" w:space="0" w:color="000000" tmln="10, 20, 20, 0, 0"/>
              <w:right w:val="single" w:sz="4" w:space="0" w:color="000000" tmln="10, 20, 20, 0, 0"/>
            </w:tcBorders>
            <w:tmTcPr id="1700820739" protected="0"/>
          </w:tcPr>
          <w:p/>
        </w:tc>
        <w:tc>
          <w:tcPr>
            <w:tcW w:w="1148" w:type="dxa"/>
            <w:vAlign w:val="center"/>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kern w:val="1" kern="1"/>
                <w:sz w:val="24"/>
                <w:szCs w:val="24"/>
                <w:lang w:eastAsia="ru-ru"/>
              </w:rPr>
            </w:pPr>
            <w:r>
              <w:rPr>
                <w:rFonts w:ascii="Times New Roman" w:hAnsi="Times New Roman" w:eastAsia="Times New Roman"/>
                <w:color w:val="000000"/>
                <w:kern w:val="1" kern="1"/>
                <w:sz w:val="24"/>
                <w:szCs w:val="24"/>
                <w:lang w:eastAsia="ru-ru"/>
              </w:rPr>
              <w:t>p</w:t>
            </w:r>
          </w:p>
        </w:tc>
        <w:tc>
          <w:tcPr>
            <w:tcW w:w="1737"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0,001</w:t>
            </w:r>
            <w:r>
              <w:rPr>
                <w:rFonts w:ascii="Times New Roman" w:hAnsi="Times New Roman" w:eastAsia="Times New Roman"/>
                <w:color w:val="000000"/>
                <w:sz w:val="24"/>
                <w:szCs w:val="24"/>
                <w:lang w:eastAsia="ru-ru"/>
              </w:rPr>
            </w:r>
          </w:p>
        </w:tc>
        <w:tc>
          <w:tcPr>
            <w:tcW w:w="1940"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0,001</w:t>
            </w:r>
            <w:r>
              <w:rPr>
                <w:rFonts w:ascii="Times New Roman" w:hAnsi="Times New Roman" w:eastAsia="Times New Roman"/>
                <w:color w:val="000000"/>
                <w:sz w:val="24"/>
                <w:szCs w:val="24"/>
                <w:lang w:eastAsia="ru-ru"/>
              </w:rPr>
            </w:r>
          </w:p>
        </w:tc>
        <w:tc>
          <w:tcPr>
            <w:tcW w:w="1969"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0,001</w:t>
            </w:r>
            <w:r>
              <w:rPr>
                <w:rFonts w:ascii="Times New Roman" w:hAnsi="Times New Roman" w:eastAsia="Times New Roman"/>
                <w:color w:val="000000"/>
                <w:sz w:val="24"/>
                <w:szCs w:val="24"/>
                <w:lang w:eastAsia="ru-ru"/>
              </w:rPr>
            </w:r>
          </w:p>
        </w:tc>
      </w:tr>
      <w:tr>
        <w:trPr>
          <w:tblHeader w:val="0"/>
          <w:trKeepWithNext w:val="0"/>
          <w:trBreak w:val="0"/>
          <w:cantSplit w:val="0"/>
          <w:trHeight w:val="286" w:hRule="atLeast"/>
        </w:trPr>
        <w:tc>
          <w:tcPr>
            <w:tcW w:w="2847" w:type="dxa"/>
            <w:vMerge w:val="restart"/>
            <w:vAlign w:val="center"/>
            <w:shd w:val="none"/>
            <w:tcMar>
              <w:top w:w="9" w:type="dxa"/>
              <w:left w:w="9" w:type="dxa"/>
              <w:bottom w:w="0" w:type="dxa"/>
              <w:right w:w="9" w:type="dxa"/>
            </w:tcMar>
            <w:tcBorders>
              <w:top w:val="single" w:sz="4" w:space="0" w:color="000000" tmln="10, 20, 20, 0, 0"/>
              <w:left w:val="single" w:sz="8" w:space="0" w:color="000000" tmln="2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Эмоциональные симптомы</w:t>
            </w:r>
            <w:r>
              <w:rPr>
                <w:rFonts w:ascii="Times New Roman" w:hAnsi="Times New Roman" w:eastAsia="Times New Roman"/>
                <w:color w:val="000000"/>
                <w:sz w:val="24"/>
                <w:szCs w:val="24"/>
                <w:lang w:eastAsia="ru-ru"/>
              </w:rPr>
            </w:r>
          </w:p>
        </w:tc>
        <w:tc>
          <w:tcPr>
            <w:tcW w:w="1148" w:type="dxa"/>
            <w:vAlign w:val="center"/>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kern w:val="1" kern="1"/>
                <w:sz w:val="24"/>
                <w:szCs w:val="24"/>
                <w:lang w:eastAsia="ru-ru"/>
              </w:rPr>
            </w:pPr>
            <w:r>
              <w:rPr>
                <w:rFonts w:ascii="Times New Roman" w:hAnsi="Times New Roman" w:eastAsia="Times New Roman"/>
                <w:color w:val="000000"/>
                <w:kern w:val="1" kern="1"/>
                <w:sz w:val="24"/>
                <w:szCs w:val="24"/>
                <w:lang w:eastAsia="ru-ru"/>
              </w:rPr>
              <w:t>Rsp</w:t>
            </w:r>
          </w:p>
        </w:tc>
        <w:tc>
          <w:tcPr>
            <w:tcW w:w="1737"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0,35</w:t>
            </w:r>
            <w:r>
              <w:rPr>
                <w:rFonts w:ascii="Times New Roman" w:hAnsi="Times New Roman" w:eastAsia="Times New Roman"/>
                <w:color w:val="000000"/>
                <w:sz w:val="24"/>
                <w:szCs w:val="24"/>
                <w:lang w:eastAsia="ru-ru"/>
              </w:rPr>
            </w:r>
          </w:p>
        </w:tc>
        <w:tc>
          <w:tcPr>
            <w:tcW w:w="1940"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0,30</w:t>
            </w:r>
            <w:r>
              <w:rPr>
                <w:rFonts w:ascii="Times New Roman" w:hAnsi="Times New Roman" w:eastAsia="Times New Roman"/>
                <w:color w:val="000000"/>
                <w:sz w:val="24"/>
                <w:szCs w:val="24"/>
                <w:lang w:eastAsia="ru-ru"/>
              </w:rPr>
            </w:r>
          </w:p>
        </w:tc>
        <w:tc>
          <w:tcPr>
            <w:tcW w:w="1969"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0,28</w:t>
            </w:r>
            <w:r>
              <w:rPr>
                <w:rFonts w:ascii="Times New Roman" w:hAnsi="Times New Roman" w:eastAsia="Times New Roman"/>
                <w:color w:val="000000"/>
                <w:sz w:val="24"/>
                <w:szCs w:val="24"/>
                <w:lang w:eastAsia="ru-ru"/>
              </w:rPr>
            </w:r>
          </w:p>
        </w:tc>
      </w:tr>
      <w:tr>
        <w:trPr>
          <w:tblHeader w:val="0"/>
          <w:trKeepWithNext w:val="0"/>
          <w:trBreak w:val="0"/>
          <w:cantSplit w:val="0"/>
          <w:trHeight w:val="414" w:hRule="atLeast"/>
        </w:trPr>
        <w:tc>
          <w:tcPr>
            <w:tcW w:w="2847" w:type="dxa"/>
            <w:vMerge/>
            <w:vAlign w:val="center"/>
            <w:tcMar>
              <w:left w:w="0" w:type="dxa"/>
              <w:right w:w="0" w:type="dxa"/>
            </w:tcMar>
            <w:tcBorders>
              <w:top w:val="single" w:sz="4" w:space="0" w:color="000000" tmln="10, 20, 20, 0, 0"/>
              <w:left w:val="single" w:sz="8" w:space="0" w:color="000000" tmln="20, 20, 20, 0, 0"/>
              <w:bottom w:val="single" w:sz="4" w:space="0" w:color="000000" tmln="10, 20, 20, 0, 0"/>
              <w:right w:val="single" w:sz="4" w:space="0" w:color="000000" tmln="10, 20, 20, 0, 0"/>
            </w:tcBorders>
            <w:tmTcPr id="1700820739" protected="0"/>
          </w:tcPr>
          <w:p/>
        </w:tc>
        <w:tc>
          <w:tcPr>
            <w:tcW w:w="1148" w:type="dxa"/>
            <w:vAlign w:val="center"/>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kern w:val="1" kern="1"/>
                <w:sz w:val="24"/>
                <w:szCs w:val="24"/>
                <w:lang w:eastAsia="ru-ru"/>
              </w:rPr>
            </w:pPr>
            <w:r>
              <w:rPr>
                <w:rFonts w:ascii="Times New Roman" w:hAnsi="Times New Roman" w:eastAsia="Times New Roman"/>
                <w:color w:val="000000"/>
                <w:kern w:val="1" kern="1"/>
                <w:sz w:val="24"/>
                <w:szCs w:val="24"/>
                <w:lang w:eastAsia="ru-ru"/>
              </w:rPr>
              <w:t>p</w:t>
            </w:r>
          </w:p>
        </w:tc>
        <w:tc>
          <w:tcPr>
            <w:tcW w:w="1737"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0,05</w:t>
            </w:r>
            <w:r>
              <w:rPr>
                <w:rFonts w:ascii="Times New Roman" w:hAnsi="Times New Roman" w:eastAsia="Times New Roman"/>
                <w:color w:val="000000"/>
                <w:sz w:val="24"/>
                <w:szCs w:val="24"/>
                <w:lang w:eastAsia="ru-ru"/>
              </w:rPr>
            </w:r>
          </w:p>
        </w:tc>
        <w:tc>
          <w:tcPr>
            <w:tcW w:w="1940"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0,05</w:t>
            </w:r>
            <w:r>
              <w:rPr>
                <w:rFonts w:ascii="Times New Roman" w:hAnsi="Times New Roman" w:eastAsia="Times New Roman"/>
                <w:color w:val="000000"/>
                <w:sz w:val="24"/>
                <w:szCs w:val="24"/>
                <w:lang w:eastAsia="ru-ru"/>
              </w:rPr>
            </w:r>
          </w:p>
        </w:tc>
        <w:tc>
          <w:tcPr>
            <w:tcW w:w="1969"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0,05</w:t>
            </w:r>
            <w:r>
              <w:rPr>
                <w:rFonts w:ascii="Times New Roman" w:hAnsi="Times New Roman" w:eastAsia="Times New Roman"/>
                <w:color w:val="000000"/>
                <w:sz w:val="24"/>
                <w:szCs w:val="24"/>
                <w:lang w:eastAsia="ru-ru"/>
              </w:rPr>
            </w:r>
          </w:p>
        </w:tc>
      </w:tr>
      <w:tr>
        <w:trPr>
          <w:tblHeader w:val="0"/>
          <w:trKeepWithNext w:val="0"/>
          <w:trBreak w:val="0"/>
          <w:cantSplit w:val="0"/>
          <w:trHeight w:val="414" w:hRule="atLeast"/>
        </w:trPr>
        <w:tc>
          <w:tcPr>
            <w:tcW w:w="2847" w:type="dxa"/>
            <w:vMerge w:val="restart"/>
            <w:vAlign w:val="center"/>
            <w:shd w:val="none"/>
            <w:tcMar>
              <w:top w:w="9" w:type="dxa"/>
              <w:left w:w="9" w:type="dxa"/>
              <w:bottom w:w="0" w:type="dxa"/>
              <w:right w:w="9" w:type="dxa"/>
            </w:tcMar>
            <w:tcBorders>
              <w:top w:val="single" w:sz="4" w:space="0" w:color="000000" tmln="10, 20, 20, 0, 0"/>
              <w:left w:val="single" w:sz="8" w:space="0" w:color="000000" tmln="2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Проблемы с поведением</w:t>
            </w:r>
            <w:r>
              <w:rPr>
                <w:rFonts w:ascii="Times New Roman" w:hAnsi="Times New Roman" w:eastAsia="Times New Roman"/>
                <w:color w:val="000000"/>
                <w:sz w:val="24"/>
                <w:szCs w:val="24"/>
                <w:lang w:eastAsia="ru-ru"/>
              </w:rPr>
            </w:r>
          </w:p>
        </w:tc>
        <w:tc>
          <w:tcPr>
            <w:tcW w:w="1148" w:type="dxa"/>
            <w:vAlign w:val="center"/>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kern w:val="1" kern="1"/>
                <w:sz w:val="24"/>
                <w:szCs w:val="24"/>
                <w:lang w:eastAsia="ru-ru"/>
              </w:rPr>
            </w:pPr>
            <w:r>
              <w:rPr>
                <w:rFonts w:ascii="Times New Roman" w:hAnsi="Times New Roman" w:eastAsia="Times New Roman"/>
                <w:color w:val="000000"/>
                <w:kern w:val="1" kern="1"/>
                <w:sz w:val="24"/>
                <w:szCs w:val="24"/>
                <w:lang w:eastAsia="ru-ru"/>
              </w:rPr>
              <w:t>Rsp</w:t>
            </w:r>
          </w:p>
        </w:tc>
        <w:tc>
          <w:tcPr>
            <w:tcW w:w="1737"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0,33</w:t>
            </w:r>
            <w:r>
              <w:rPr>
                <w:rFonts w:ascii="Times New Roman" w:hAnsi="Times New Roman" w:eastAsia="Times New Roman"/>
                <w:color w:val="000000"/>
                <w:sz w:val="24"/>
                <w:szCs w:val="24"/>
                <w:lang w:eastAsia="ru-ru"/>
              </w:rPr>
            </w:r>
          </w:p>
        </w:tc>
        <w:tc>
          <w:tcPr>
            <w:tcW w:w="1940"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0,40</w:t>
            </w:r>
            <w:r>
              <w:rPr>
                <w:rFonts w:ascii="Times New Roman" w:hAnsi="Times New Roman" w:eastAsia="Times New Roman"/>
                <w:color w:val="000000"/>
                <w:sz w:val="24"/>
                <w:szCs w:val="24"/>
                <w:lang w:eastAsia="ru-ru"/>
              </w:rPr>
            </w:r>
          </w:p>
        </w:tc>
        <w:tc>
          <w:tcPr>
            <w:tcW w:w="1969"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0,38</w:t>
            </w:r>
            <w:r>
              <w:rPr>
                <w:rFonts w:ascii="Times New Roman" w:hAnsi="Times New Roman" w:eastAsia="Times New Roman"/>
                <w:color w:val="000000"/>
                <w:sz w:val="24"/>
                <w:szCs w:val="24"/>
                <w:lang w:eastAsia="ru-ru"/>
              </w:rPr>
            </w:r>
          </w:p>
        </w:tc>
      </w:tr>
      <w:tr>
        <w:trPr>
          <w:tblHeader w:val="0"/>
          <w:trKeepWithNext w:val="0"/>
          <w:trBreak w:val="0"/>
          <w:cantSplit w:val="0"/>
          <w:trHeight w:val="414" w:hRule="atLeast"/>
        </w:trPr>
        <w:tc>
          <w:tcPr>
            <w:tcW w:w="2847" w:type="dxa"/>
            <w:vMerge/>
            <w:vAlign w:val="center"/>
            <w:tcMar>
              <w:left w:w="0" w:type="dxa"/>
              <w:right w:w="0" w:type="dxa"/>
            </w:tcMar>
            <w:tcBorders>
              <w:top w:val="single" w:sz="4" w:space="0" w:color="000000" tmln="10, 20, 20, 0, 0"/>
              <w:left w:val="single" w:sz="8" w:space="0" w:color="000000" tmln="20, 20, 20, 0, 0"/>
              <w:bottom w:val="single" w:sz="4" w:space="0" w:color="000000" tmln="10, 20, 20, 0, 0"/>
              <w:right w:val="single" w:sz="4" w:space="0" w:color="000000" tmln="10, 20, 20, 0, 0"/>
            </w:tcBorders>
            <w:tmTcPr id="1700820739" protected="0"/>
          </w:tcPr>
          <w:p/>
        </w:tc>
        <w:tc>
          <w:tcPr>
            <w:tcW w:w="1148" w:type="dxa"/>
            <w:vAlign w:val="center"/>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kern w:val="1" kern="1"/>
                <w:sz w:val="24"/>
                <w:szCs w:val="24"/>
                <w:lang w:eastAsia="ru-ru"/>
              </w:rPr>
            </w:pPr>
            <w:r>
              <w:rPr>
                <w:rFonts w:ascii="Times New Roman" w:hAnsi="Times New Roman" w:eastAsia="Times New Roman"/>
                <w:color w:val="000000"/>
                <w:kern w:val="1" kern="1"/>
                <w:sz w:val="24"/>
                <w:szCs w:val="24"/>
                <w:lang w:eastAsia="ru-ru"/>
              </w:rPr>
              <w:t>p</w:t>
            </w:r>
          </w:p>
        </w:tc>
        <w:tc>
          <w:tcPr>
            <w:tcW w:w="1737"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0,05</w:t>
            </w:r>
            <w:r>
              <w:rPr>
                <w:rFonts w:ascii="Times New Roman" w:hAnsi="Times New Roman" w:eastAsia="Times New Roman"/>
                <w:color w:val="000000"/>
                <w:sz w:val="24"/>
                <w:szCs w:val="24"/>
                <w:lang w:eastAsia="ru-ru"/>
              </w:rPr>
            </w:r>
          </w:p>
        </w:tc>
        <w:tc>
          <w:tcPr>
            <w:tcW w:w="1940"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0,01</w:t>
            </w:r>
            <w:r>
              <w:rPr>
                <w:rFonts w:ascii="Times New Roman" w:hAnsi="Times New Roman" w:eastAsia="Times New Roman"/>
                <w:color w:val="000000"/>
                <w:sz w:val="24"/>
                <w:szCs w:val="24"/>
                <w:lang w:eastAsia="ru-ru"/>
              </w:rPr>
            </w:r>
          </w:p>
        </w:tc>
        <w:tc>
          <w:tcPr>
            <w:tcW w:w="1969"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0,01</w:t>
            </w:r>
            <w:r>
              <w:rPr>
                <w:rFonts w:ascii="Times New Roman" w:hAnsi="Times New Roman" w:eastAsia="Times New Roman"/>
                <w:color w:val="000000"/>
                <w:sz w:val="24"/>
                <w:szCs w:val="24"/>
                <w:lang w:eastAsia="ru-ru"/>
              </w:rPr>
            </w:r>
          </w:p>
        </w:tc>
      </w:tr>
      <w:tr>
        <w:trPr>
          <w:tblHeader w:val="0"/>
          <w:trKeepWithNext w:val="0"/>
          <w:trBreak w:val="0"/>
          <w:cantSplit w:val="0"/>
          <w:trHeight w:val="414" w:hRule="atLeast"/>
        </w:trPr>
        <w:tc>
          <w:tcPr>
            <w:tcW w:w="2847" w:type="dxa"/>
            <w:vMerge w:val="restart"/>
            <w:vAlign w:val="center"/>
            <w:shd w:val="none"/>
            <w:tcMar>
              <w:top w:w="9" w:type="dxa"/>
              <w:left w:w="9" w:type="dxa"/>
              <w:bottom w:w="0" w:type="dxa"/>
              <w:right w:w="9" w:type="dxa"/>
            </w:tcMar>
            <w:tcBorders>
              <w:top w:val="single" w:sz="4" w:space="0" w:color="000000" tmln="10, 20, 20, 0, 0"/>
              <w:left w:val="single" w:sz="8" w:space="0" w:color="000000" tmln="20, 20, 20, 0, 0"/>
              <w:bottom w:val="single" w:sz="8" w:space="0" w:color="000000" tmln="20, 20, 20, 0, 0"/>
              <w:right w:val="single" w:sz="4" w:space="0" w:color="000000" tmln="10, 20, 20, 0, 0"/>
            </w:tcBorders>
            <w:tmTcPr id="1700820739" protected="0"/>
          </w:tcPr>
          <w:p>
            <w:pPr>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Гиперактивность</w:t>
            </w:r>
            <w:r>
              <w:rPr>
                <w:rFonts w:ascii="Times New Roman" w:hAnsi="Times New Roman" w:eastAsia="Times New Roman"/>
                <w:color w:val="000000"/>
                <w:sz w:val="24"/>
                <w:szCs w:val="24"/>
                <w:lang w:eastAsia="ru-ru"/>
              </w:rPr>
            </w:r>
          </w:p>
        </w:tc>
        <w:tc>
          <w:tcPr>
            <w:tcW w:w="1148" w:type="dxa"/>
            <w:vAlign w:val="center"/>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kern w:val="1" kern="1"/>
                <w:sz w:val="24"/>
                <w:szCs w:val="24"/>
                <w:lang w:eastAsia="ru-ru"/>
              </w:rPr>
            </w:pPr>
            <w:r>
              <w:rPr>
                <w:rFonts w:ascii="Times New Roman" w:hAnsi="Times New Roman" w:eastAsia="Times New Roman"/>
                <w:color w:val="000000"/>
                <w:kern w:val="1" kern="1"/>
                <w:sz w:val="24"/>
                <w:szCs w:val="24"/>
                <w:lang w:eastAsia="ru-ru"/>
              </w:rPr>
              <w:t>Rsp</w:t>
            </w:r>
          </w:p>
        </w:tc>
        <w:tc>
          <w:tcPr>
            <w:tcW w:w="1737"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0,46</w:t>
            </w:r>
            <w:r>
              <w:rPr>
                <w:rFonts w:ascii="Times New Roman" w:hAnsi="Times New Roman" w:eastAsia="Times New Roman"/>
                <w:color w:val="000000"/>
                <w:sz w:val="24"/>
                <w:szCs w:val="24"/>
                <w:lang w:eastAsia="ru-ru"/>
              </w:rPr>
            </w:r>
          </w:p>
        </w:tc>
        <w:tc>
          <w:tcPr>
            <w:tcW w:w="1940"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0,48</w:t>
            </w:r>
            <w:r>
              <w:rPr>
                <w:rFonts w:ascii="Times New Roman" w:hAnsi="Times New Roman" w:eastAsia="Times New Roman"/>
                <w:color w:val="000000"/>
                <w:sz w:val="24"/>
                <w:szCs w:val="24"/>
                <w:lang w:eastAsia="ru-ru"/>
              </w:rPr>
            </w:r>
          </w:p>
        </w:tc>
        <w:tc>
          <w:tcPr>
            <w:tcW w:w="1969"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4" w:space="0" w:color="000000" tmln="10, 20, 20, 0, 0"/>
              <w:right w:val="single" w:sz="8" w:space="0" w:color="000000" tmln="2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0,46</w:t>
            </w:r>
            <w:r>
              <w:rPr>
                <w:rFonts w:ascii="Times New Roman" w:hAnsi="Times New Roman" w:eastAsia="Times New Roman"/>
                <w:color w:val="000000"/>
                <w:sz w:val="24"/>
                <w:szCs w:val="24"/>
                <w:lang w:eastAsia="ru-ru"/>
              </w:rPr>
            </w:r>
          </w:p>
        </w:tc>
      </w:tr>
      <w:tr>
        <w:trPr>
          <w:tblHeader w:val="0"/>
          <w:trKeepWithNext w:val="0"/>
          <w:trBreak w:val="0"/>
          <w:cantSplit w:val="0"/>
          <w:trHeight w:val="414" w:hRule="atLeast"/>
        </w:trPr>
        <w:tc>
          <w:tcPr>
            <w:tcW w:w="2847" w:type="dxa"/>
            <w:vMerge/>
            <w:vAlign w:val="center"/>
            <w:tcMar>
              <w:left w:w="0" w:type="dxa"/>
              <w:right w:w="0" w:type="dxa"/>
            </w:tcMar>
            <w:tcBorders>
              <w:top w:val="single" w:sz="4" w:space="0" w:color="000000" tmln="10, 20, 20, 0, 0"/>
              <w:left w:val="single" w:sz="8" w:space="0" w:color="000000" tmln="20, 20, 20, 0, 0"/>
              <w:bottom w:val="single" w:sz="8" w:space="0" w:color="000000" tmln="20, 20, 20, 0, 0"/>
              <w:right w:val="single" w:sz="4" w:space="0" w:color="000000" tmln="10, 20, 20, 0, 0"/>
            </w:tcBorders>
            <w:tmTcPr id="1700820739" protected="0"/>
          </w:tcPr>
          <w:p/>
        </w:tc>
        <w:tc>
          <w:tcPr>
            <w:tcW w:w="1148" w:type="dxa"/>
            <w:vAlign w:val="center"/>
            <w:tcMar>
              <w:left w:w="0" w:type="dxa"/>
              <w:right w:w="0" w:type="dxa"/>
            </w:tcMar>
            <w:tcBorders>
              <w:top w:val="single" w:sz="4" w:space="0" w:color="000000" tmln="10, 20, 20, 0, 0"/>
              <w:left w:val="single" w:sz="4" w:space="0" w:color="000000" tmln="10, 20, 20, 0, 0"/>
              <w:bottom w:val="single" w:sz="8" w:space="0" w:color="000000" tmln="2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kern w:val="1" kern="1"/>
                <w:sz w:val="24"/>
                <w:szCs w:val="24"/>
                <w:lang w:eastAsia="ru-ru"/>
              </w:rPr>
            </w:pPr>
            <w:r>
              <w:rPr>
                <w:rFonts w:ascii="Times New Roman" w:hAnsi="Times New Roman" w:eastAsia="Times New Roman"/>
                <w:color w:val="000000"/>
                <w:kern w:val="1" kern="1"/>
                <w:sz w:val="24"/>
                <w:szCs w:val="24"/>
                <w:lang w:eastAsia="ru-ru"/>
              </w:rPr>
              <w:t>p</w:t>
            </w:r>
          </w:p>
        </w:tc>
        <w:tc>
          <w:tcPr>
            <w:tcW w:w="1737"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8" w:space="0" w:color="000000" tmln="2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0,001</w:t>
            </w:r>
            <w:r>
              <w:rPr>
                <w:rFonts w:ascii="Times New Roman" w:hAnsi="Times New Roman" w:eastAsia="Times New Roman"/>
                <w:color w:val="000000"/>
                <w:sz w:val="24"/>
                <w:szCs w:val="24"/>
                <w:lang w:eastAsia="ru-ru"/>
              </w:rPr>
            </w:r>
          </w:p>
        </w:tc>
        <w:tc>
          <w:tcPr>
            <w:tcW w:w="1940"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8" w:space="0" w:color="000000" tmln="20, 20, 20, 0, 0"/>
              <w:right w:val="single" w:sz="4" w:space="0" w:color="000000" tmln="1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0,001</w:t>
            </w:r>
            <w:r>
              <w:rPr>
                <w:rFonts w:ascii="Times New Roman" w:hAnsi="Times New Roman" w:eastAsia="Times New Roman"/>
                <w:color w:val="000000"/>
                <w:sz w:val="24"/>
                <w:szCs w:val="24"/>
                <w:lang w:eastAsia="ru-ru"/>
              </w:rPr>
            </w:r>
          </w:p>
        </w:tc>
        <w:tc>
          <w:tcPr>
            <w:tcW w:w="1969" w:type="dxa"/>
            <w:vAlign w:val="center"/>
            <w:shd w:val="none"/>
            <w:tcMar>
              <w:top w:w="9" w:type="dxa"/>
              <w:left w:w="9" w:type="dxa"/>
              <w:bottom w:w="0" w:type="dxa"/>
              <w:right w:w="9" w:type="dxa"/>
            </w:tcMar>
            <w:tcBorders>
              <w:top w:val="single" w:sz="4" w:space="0" w:color="000000" tmln="10, 20, 20, 0, 0"/>
              <w:left w:val="single" w:sz="4" w:space="0" w:color="000000" tmln="10, 20, 20, 0, 0"/>
              <w:bottom w:val="single" w:sz="8" w:space="0" w:color="000000" tmln="20, 20, 20, 0, 0"/>
              <w:right w:val="single" w:sz="8" w:space="0" w:color="000000" tmln="20, 20, 20, 0, 0"/>
            </w:tcBorders>
            <w:tmTcPr id="1700820739" protected="0"/>
          </w:tcPr>
          <w:p>
            <w:pPr>
              <w:spacing w:after="0"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kern w:val="1" kern="1"/>
                <w:sz w:val="24"/>
                <w:szCs w:val="24"/>
                <w:lang w:eastAsia="ru-ru"/>
              </w:rPr>
              <w:t>0,001</w:t>
            </w:r>
            <w:r>
              <w:rPr>
                <w:rFonts w:ascii="Times New Roman" w:hAnsi="Times New Roman" w:eastAsia="Times New Roman"/>
                <w:color w:val="000000"/>
                <w:sz w:val="24"/>
                <w:szCs w:val="24"/>
                <w:lang w:eastAsia="ru-ru"/>
              </w:rPr>
            </w:r>
          </w:p>
        </w:tc>
      </w:tr>
    </w:tbl>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Таким образом, в семьях, где у родителей повышенный показатель ролевой виктимности, дети склонны к высокому уровню тревожности, страхам, неуверенности в себе. Матери таких детей часто прибегают к манипуляциям, предпочитают избегать ответственности, что, вероятно, сказывается и на самоощущении и поведении детей и проявляется в их импульсивности, раздражительности, отказе от соблюдения правил.</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Прямая корреляционная связь выявлена между показателями ролевой виктимности «социальная роль жертвы» и признаками «общее число проблем» (r = 0,54, р ≤ 0,001), «эмоциональные симптомы» (r = 0,30, р ≤ 0,05), «проблемы с поведением» (r = 0,40, р ≤ 0,01), «гиперактивность» (r = 0,47, р ≤ 0,001). Можно утверждать, что дети родителей с выраженной позицией «социальная роль жертвы» имеют психофизиологические признаки дистресса, тревожны, испытывают страхи, импульсивны. Мать или отец с выраженными чертами ролевой виктимности обидчивы, чувствуют себя одинокими, имеют низкую самооценку, они недостаточно гибки в общении и чаще сталкиваются с трудностями социальной адаптации. Возможно, эти особенности не позволяют им иметь четкую и сильную родительскую позицию, что негативно сказывается на детско-родительских отношениях. В результате дети в таких семьях также сталкиваются с проблемами социальной адаптации и испытывают трудности во взаимодействии с другими людьми. Что, скорее всего, не позволяет им естественно развиваться и дает общее ощущение враждебности мира.</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Надо отметить, что корреляции между двумя субшкалами опросника ролевой виктимности и шкалами Гудмана мало различаются по величине и направленности, что предполагает одинаковый вклад в развитие нарушений детского поведения исследуемых ролевых позиций жертвы. Схожая структура связей получена и для общего балла виктимности (сумма баллов двух субшкал опросника) и показателей нарушений поведения детей по Гудману. Прямая корреляционная связь выявлена между шкалой «Общий балл виктимности» и признаками «Общее число проблем» (r = 0,50, р ≤ 0,001), «Проблемы с поведением» (r = 0,38, р ≤ 0,01), «Гиперактивность» (r = 0,46, р ≤ 0,001). Корреляционная прямая связь на уровне тенденции установлена между шкалами «Общий балл виктимности» и «Эмоциональные симптомы» (r = ‒ 0,28, р = 0,056).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Подводя итоги исследования, можно утверждать, что повышенный уровень ролевой виктимности связан со склонностью родителей к неконструктивным стилям поведения. По всей видимости, личностные особенности родителей, образующие симптомокомплекс виктимной личности, не позволяют иметь четкую и сильную родительскую позицию, что негативно сказывается на детско-родительских отношениях. Эмоциональная нестабильность и частые смены настроения у матери или отца вызывают схожий отклик в ребенке, что проявляется импульсивностью и порождает проблемы во взаимоотношениях со сверстниками, ведет к социальной дезадаптации. Можем также предполагать, что родительская позиция личности с высоким уровнем ролевой виктимности транслирует определенное мировосприятие на детей и ориентирует их на будущую виктимизацию.</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Исследование данной проблемы можно продолжить, прежде всего, в направлении изучения влияния уровня ролевой виктимности родителей на самочувствие и поведение детей и на особенности семейных конфликтов (для подобного исследования необходимо участие супружеских пар).</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Полученные данные могут быть применены в профилактической и консультативной работе практических психологов и социальных работников для выявления приоритетного направления работы с людьми, склонными к виктимному поведению, а также стать базой для работы, направленной на гармонизацию детско-родительских отношений.</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Список литературы</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1. </w:t>
      </w:r>
      <w:r>
        <w:rPr>
          <w:rFonts w:ascii="Times New Roman" w:hAnsi="Times New Roman"/>
          <w:i/>
          <w:color w:val="000000"/>
          <w:sz w:val="24"/>
          <w:szCs w:val="24"/>
        </w:rPr>
        <w:t>Авдеева Н. Н</w:t>
      </w:r>
      <w:r>
        <w:rPr>
          <w:rFonts w:ascii="Times New Roman" w:hAnsi="Times New Roman"/>
          <w:color w:val="000000"/>
          <w:sz w:val="24"/>
          <w:szCs w:val="24"/>
        </w:rPr>
        <w:t>. Теория привязанности: современные исследования и перспективы / Н. Н. Авдеева // Современная зарубежная психология. — 2017. — Т. 6, № 2. — С. 7—14. — DOI 10.17759/jmfp.2017060201. — Текст : электронный.</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2. Горизонты зрелости : сборник научных статей / под. ред. Л. Ф. Обуховой, И. В. Шаповаленко, М. А. Одинцовой. — Москва : ГБОУ ВПО МГППУ, 2015. — 246 с.</w:t>
      </w:r>
    </w:p>
    <w:p>
      <w:pPr>
        <w:ind w:firstLine="284"/>
        <w:spacing w:after="0" w:line="240" w:lineRule="auto"/>
        <w:jc w:val="both"/>
        <w:rPr>
          <w:rFonts w:ascii="Times New Roman" w:hAnsi="Times New Roman" w:eastAsia="Times New Roman"/>
          <w:color w:val="000000"/>
          <w:spacing w:val="-6" spc="45"/>
          <w:sz w:val="24"/>
          <w:szCs w:val="24"/>
        </w:rPr>
      </w:pPr>
      <w:r>
        <w:rPr>
          <w:rFonts w:ascii="Times New Roman" w:hAnsi="Times New Roman" w:eastAsia="Times New Roman"/>
          <w:color w:val="000000"/>
          <w:spacing w:val="-6" spc="45"/>
          <w:sz w:val="24"/>
          <w:szCs w:val="24"/>
        </w:rPr>
        <w:t>3. </w:t>
      </w:r>
      <w:r>
        <w:rPr>
          <w:rFonts w:ascii="Times New Roman" w:hAnsi="Times New Roman" w:eastAsia="Times New Roman"/>
          <w:i/>
          <w:color w:val="000000"/>
          <w:spacing w:val="-5" spc="45"/>
          <w:sz w:val="24"/>
          <w:szCs w:val="24"/>
        </w:rPr>
        <w:t>Калинина Р. Р</w:t>
      </w:r>
      <w:r>
        <w:rPr>
          <w:rFonts w:ascii="Times New Roman" w:hAnsi="Times New Roman" w:eastAsia="Times New Roman"/>
          <w:color w:val="000000"/>
          <w:spacing w:val="-6" spc="45"/>
          <w:sz w:val="24"/>
          <w:szCs w:val="24"/>
        </w:rPr>
        <w:t xml:space="preserve">. Родительские позиции и их роль в формировании личности ребенка / Р. Р. Калинина // Психологические проблемы современной российской семьи : тезисы </w:t>
      </w:r>
      <w:r>
        <w:rPr>
          <w:rFonts w:ascii="Times New Roman" w:hAnsi="Times New Roman" w:eastAsia="Times New Roman"/>
          <w:color w:val="000000"/>
          <w:spacing w:val="-6" spc="45"/>
          <w:sz w:val="24"/>
          <w:szCs w:val="24"/>
          <w:lang w:val="en-us"/>
        </w:rPr>
        <w:t>II</w:t>
      </w:r>
      <w:r>
        <w:rPr>
          <w:rFonts w:ascii="Times New Roman" w:hAnsi="Times New Roman" w:eastAsia="Times New Roman"/>
          <w:color w:val="000000"/>
          <w:spacing w:val="-6" spc="45"/>
          <w:sz w:val="24"/>
          <w:szCs w:val="24"/>
        </w:rPr>
        <w:t xml:space="preserve"> Всероссийской научно-практической конференции, Москва, 25—27 октября 2005 г. : в 3 ч. Ч. 3 / под ред. В. К. Шабельникова, А. Г. Лидерса. — Москва, 2005. — URL: </w:t>
      </w:r>
      <w:r>
        <w:rPr>
          <w:rStyle w:val="char4"/>
          <w:rFonts w:ascii="Times New Roman" w:hAnsi="Times New Roman" w:eastAsia="Times New Roman"/>
          <w:color w:val="000000"/>
          <w:spacing w:val="-6" spc="45"/>
          <w:sz w:val="24"/>
          <w:szCs w:val="24"/>
          <w:u w:color="auto" w:val="none"/>
          <w:hyperlink r:id="rId13"/>
        </w:rPr>
        <w:t>http://childpsy.ru/lib/articles/</w:t>
        <w:br w:type="textWrapping"/>
        <w:t>id/10300.php</w:t>
      </w:r>
      <w:r>
        <w:rPr>
          <w:rFonts w:ascii="Times New Roman" w:hAnsi="Times New Roman" w:eastAsia="Times New Roman"/>
          <w:color w:val="000000"/>
          <w:spacing w:val="-6" spc="45"/>
          <w:sz w:val="24"/>
          <w:szCs w:val="24"/>
        </w:rPr>
        <w:t xml:space="preserve"> (дата обращения: 07.06.2023). — Текст : электронный.</w:t>
      </w:r>
      <w:r>
        <w:rPr>
          <w:rFonts w:ascii="Times New Roman" w:hAnsi="Times New Roman" w:eastAsia="Times New Roman"/>
          <w:color w:val="000000"/>
          <w:spacing w:val="-6" spc="45"/>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4. </w:t>
      </w:r>
      <w:r>
        <w:rPr>
          <w:rFonts w:ascii="Times New Roman" w:hAnsi="Times New Roman"/>
          <w:i/>
          <w:color w:val="000000"/>
          <w:sz w:val="24"/>
          <w:szCs w:val="24"/>
        </w:rPr>
        <w:t>Одинцова М. А</w:t>
      </w:r>
      <w:r>
        <w:rPr>
          <w:rFonts w:ascii="Times New Roman" w:hAnsi="Times New Roman"/>
          <w:color w:val="000000"/>
          <w:sz w:val="24"/>
          <w:szCs w:val="24"/>
        </w:rPr>
        <w:t xml:space="preserve">. Проблема виктимного личностного типа в психологии / М. А. Одинцова // Известия Саратовского университета. Новая серия. Серия Философия. Психология. Педагогика. — 2014. — Т. 14, № 2-1. — С. 73—79. — URL: </w:t>
      </w:r>
      <w:r>
        <w:rPr>
          <w:rStyle w:val="char4"/>
          <w:rFonts w:ascii="Times New Roman" w:hAnsi="Times New Roman"/>
          <w:color w:val="000000"/>
          <w:sz w:val="24"/>
          <w:szCs w:val="24"/>
          <w:u w:color="auto" w:val="none"/>
          <w:hyperlink r:id="rId14"/>
        </w:rPr>
        <w:t>https://cyberleninka.ru/article/n/problema-viktimnogo-lichnostnogo-tipa-v-psihologii</w:t>
      </w:r>
      <w:r>
        <w:rPr>
          <w:rFonts w:ascii="Times New Roman" w:hAnsi="Times New Roman"/>
          <w:color w:val="000000"/>
          <w:sz w:val="24"/>
          <w:szCs w:val="24"/>
        </w:rPr>
        <w:t xml:space="preserve"> (дата обращения: 07.06.2023).</w:t>
      </w:r>
      <w:r>
        <w:rPr>
          <w:rFonts w:ascii="Times New Roman" w:hAnsi="Times New Roman"/>
          <w:color w:val="000000"/>
          <w:sz w:val="24"/>
          <w:szCs w:val="24"/>
        </w:rPr>
        <w:t xml:space="preserve"> — </w:t>
      </w:r>
      <w:r>
        <w:rPr>
          <w:rFonts w:ascii="Times New Roman" w:hAnsi="Times New Roman"/>
          <w:color w:val="000000"/>
          <w:sz w:val="24"/>
          <w:szCs w:val="24"/>
        </w:rPr>
        <w:t>Текст :</w:t>
      </w:r>
      <w:r>
        <w:rPr>
          <w:rFonts w:ascii="Times New Roman" w:hAnsi="Times New Roman"/>
          <w:color w:val="000000"/>
          <w:sz w:val="24"/>
          <w:szCs w:val="24"/>
        </w:rPr>
        <w:t xml:space="preserve"> электронный.</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5. </w:t>
      </w:r>
      <w:r>
        <w:rPr>
          <w:rFonts w:ascii="Times New Roman" w:hAnsi="Times New Roman"/>
          <w:i/>
          <w:color w:val="000000"/>
          <w:sz w:val="24"/>
          <w:szCs w:val="24"/>
        </w:rPr>
        <w:t>Одинцова М. А</w:t>
      </w:r>
      <w:r>
        <w:rPr>
          <w:rFonts w:ascii="Times New Roman" w:hAnsi="Times New Roman"/>
          <w:color w:val="000000"/>
          <w:sz w:val="24"/>
          <w:szCs w:val="24"/>
        </w:rPr>
        <w:t>. Психологические особенности виктимной личности / М. А. Одинцова // Вопросы психологии. — 2012. — № 3. — С. 59—67.</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6. </w:t>
      </w:r>
      <w:r>
        <w:rPr>
          <w:rFonts w:ascii="Times New Roman" w:hAnsi="Times New Roman"/>
          <w:i/>
          <w:color w:val="000000"/>
          <w:sz w:val="24"/>
          <w:szCs w:val="24"/>
        </w:rPr>
        <w:t>Одинцова М. А</w:t>
      </w:r>
      <w:r>
        <w:rPr>
          <w:rFonts w:ascii="Times New Roman" w:hAnsi="Times New Roman"/>
          <w:color w:val="000000"/>
          <w:sz w:val="24"/>
          <w:szCs w:val="24"/>
        </w:rPr>
        <w:t>. Разработка и стандартизация опросника «Тип ролевой виктимности» / М. А. Одинцова, Н. П. Радчикова // Известия ПГПУ им. В. Г. Белинского. — 2012. — № 28. — С. 1303—1310.</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7. </w:t>
      </w:r>
      <w:r>
        <w:rPr>
          <w:rFonts w:ascii="Times New Roman" w:hAnsi="Times New Roman"/>
          <w:i/>
          <w:color w:val="000000"/>
          <w:sz w:val="24"/>
          <w:szCs w:val="24"/>
        </w:rPr>
        <w:t>Спиваковская А. С</w:t>
      </w:r>
      <w:r>
        <w:rPr>
          <w:rFonts w:ascii="Times New Roman" w:hAnsi="Times New Roman"/>
          <w:color w:val="000000"/>
          <w:sz w:val="24"/>
          <w:szCs w:val="24"/>
        </w:rPr>
        <w:t xml:space="preserve">. Как быть родителями: о психологии родительской любви / А. С. Спиваковская. — Москва : Педагогика, 1986. — 157 с. </w:t>
      </w:r>
      <w:r>
        <w:rPr>
          <w:rFonts w:ascii="Times New Roman" w:hAnsi="Times New Roman"/>
          <w:color w:val="000000"/>
          <w:sz w:val="24"/>
          <w:szCs w:val="24"/>
          <w:shd w:val="clear" w:fill="ffffff"/>
        </w:rPr>
        <w:t>— </w:t>
      </w:r>
      <w:r>
        <w:rPr>
          <w:rStyle w:val="char3"/>
          <w:rFonts w:ascii="Times New Roman" w:hAnsi="Times New Roman"/>
          <w:bCs/>
          <w:i w:val="0"/>
          <w:iCs w:val="0"/>
          <w:color w:val="000000"/>
          <w:sz w:val="24"/>
          <w:szCs w:val="24"/>
          <w:shd w:val="clear" w:fill="ffffff"/>
        </w:rPr>
        <w:t>ISBN</w:t>
      </w:r>
      <w:r>
        <w:rPr>
          <w:rFonts w:ascii="Times New Roman" w:hAnsi="Times New Roman"/>
          <w:color w:val="000000"/>
          <w:sz w:val="24"/>
          <w:szCs w:val="24"/>
          <w:shd w:val="clear" w:fill="ffffff"/>
        </w:rPr>
        <w:t> 5-04-003916-8.</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8. </w:t>
      </w:r>
      <w:r>
        <w:rPr>
          <w:rFonts w:ascii="Times New Roman" w:hAnsi="Times New Roman"/>
          <w:i/>
          <w:color w:val="000000"/>
          <w:sz w:val="24"/>
          <w:szCs w:val="24"/>
        </w:rPr>
        <w:t>Яценко Т. Е</w:t>
      </w:r>
      <w:r>
        <w:rPr>
          <w:rFonts w:ascii="Times New Roman" w:hAnsi="Times New Roman"/>
          <w:color w:val="000000"/>
          <w:sz w:val="24"/>
          <w:szCs w:val="24"/>
        </w:rPr>
        <w:t>. Родительские установки женщин с ролевым виктимным поведением в период ранней взрослости / Т. Е. Яценко, А. В. Гилько // Психологическое благополучие современной семьи : материалы межрегиональной научно-практической конференции с международным участием / под ред. д-ра психол. наук, проф. Н. В. Нижнегородцевой. — Ярославль : РИО ЯГПУ, 2016. — С. 197—200. — URL: http://rep.barsu.by/handle/data/2207 (дата обращения: 07.07.2023). — Текст : электронный.</w:t>
      </w:r>
    </w:p>
    <w:p>
      <w:pPr>
        <w:pStyle w:val="para17"/>
      </w:pPr>
      <w:r>
        <w:br w:type="page"/>
      </w:r>
      <w:bookmarkStart w:id="4" w:name="_Оглавление000025"/>
      <w:r/>
      <w:bookmarkStart w:id="5" w:name="_Оглавление000006"/>
      <w:r/>
      <w:bookmarkStart w:id="6" w:name="_Toc407013863"/>
      <w:r/>
      <w:bookmarkStart w:id="7" w:name="_Toc407010952"/>
      <w:r/>
      <w:r>
        <w:rPr>
          <w:rFonts w:ascii="Symbol" w:hAnsi="Symbol" w:eastAsia="Symbol" w:cs="Symbol"/>
          <w:bCs w:val="0"/>
          <w:iCs w:val="0"/>
          <w:color w:val="ffffff"/>
          <w:kern w:val="1" kern="1"/>
          <w:lang w:eastAsia="zh-cn"/>
        </w:rPr>
        <w:t xml:space="preserve">© </w:t>
      </w:r>
      <w:r>
        <w:t>С. В. Карпова, И. М. Марусенко, В. В. Савина</w:t>
      </w:r>
      <w:bookmarkEnd w:id="5"/>
      <w:r/>
      <w:bookmarkEnd w:id="4"/>
      <w:r/>
    </w:p>
    <w:p>
      <w:pPr>
        <w:ind w:firstLine="284"/>
        <w:spacing w:after="0" w:line="240" w:lineRule="auto"/>
        <w:jc w:val="right"/>
        <w:tabs defTabSz="708">
          <w:tab w:val="left" w:pos="-709" w:leader="none"/>
        </w:tabs>
        <w:rPr>
          <w:rFonts w:ascii="Times New Roman" w:hAnsi="Times New Roman"/>
          <w:i/>
          <w:color w:val="000000"/>
          <w:sz w:val="24"/>
          <w:szCs w:val="24"/>
        </w:rPr>
      </w:pPr>
      <w:r>
        <w:rPr>
          <w:rFonts w:ascii="Times New Roman" w:hAnsi="Times New Roman"/>
          <w:i/>
          <w:color w:val="000000"/>
          <w:sz w:val="24"/>
          <w:szCs w:val="24"/>
        </w:rPr>
        <w:t>ФГБОУ ВО «Петрозаводский государственный университет»</w:t>
      </w:r>
    </w:p>
    <w:p>
      <w:pPr>
        <w:ind w:firstLine="284"/>
        <w:spacing w:after="0" w:line="240" w:lineRule="auto"/>
        <w:jc w:val="right"/>
        <w:tabs defTabSz="708">
          <w:tab w:val="left" w:pos="-709" w:leader="none"/>
        </w:tabs>
        <w:rPr>
          <w:rFonts w:ascii="Times New Roman" w:hAnsi="Times New Roman"/>
          <w:i/>
          <w:color w:val="000000"/>
          <w:sz w:val="24"/>
          <w:szCs w:val="24"/>
        </w:rPr>
      </w:pPr>
      <w:r>
        <w:rPr>
          <w:rFonts w:ascii="Times New Roman" w:hAnsi="Times New Roman"/>
          <w:i/>
          <w:color w:val="000000"/>
          <w:sz w:val="24"/>
          <w:szCs w:val="24"/>
        </w:rPr>
        <w:t>г. Петрозаводск, Россия</w:t>
      </w:r>
    </w:p>
    <w:p>
      <w:pPr>
        <w:ind w:firstLine="284"/>
        <w:spacing w:after="0" w:line="240" w:lineRule="auto"/>
        <w:jc w:val="both"/>
        <w:tabs defTabSz="708">
          <w:tab w:val="left" w:pos="-709" w:leader="none"/>
        </w:tabs>
        <w:rPr>
          <w:rFonts w:ascii="Times New Roman" w:hAnsi="Times New Roman"/>
          <w:b/>
          <w:color w:val="000000"/>
          <w:sz w:val="24"/>
          <w:szCs w:val="24"/>
        </w:rPr>
      </w:pPr>
      <w:r>
        <w:rPr>
          <w:rFonts w:ascii="Times New Roman" w:hAnsi="Times New Roman"/>
          <w:b/>
          <w:color w:val="000000"/>
          <w:sz w:val="24"/>
          <w:szCs w:val="24"/>
        </w:rPr>
      </w:r>
    </w:p>
    <w:p>
      <w:pPr>
        <w:pStyle w:val="para16"/>
      </w:pPr>
      <w:bookmarkStart w:id="8" w:name="_Оглавление000007"/>
      <w:r>
        <w:t xml:space="preserve">ЖИЗНЕННАЯ ПЕРСПЕКТИВА БОЛЬНЫХ РЕВМАТОИДНЫМ АРТРИТОМ, </w:t>
        <w:br w:type="textWrapping"/>
        <w:t xml:space="preserve">ПОЛУЧАЮЩИХ СТАНДАРТНОЕ ИННОВАЦИОННОЕ ЛЕЧЕНИЕ </w:t>
        <w:br w:type="textWrapping"/>
        <w:t>(ГЕННО-ИНЖЕНЕРНЫЕ БИОЛОГИЧЕСКИЕ ПРЕПАРАТЫ)</w:t>
      </w:r>
      <w:bookmarkEnd w:id="8"/>
      <w:r/>
    </w:p>
    <w:p>
      <w:pPr>
        <w:pStyle w:val="para8"/>
        <w:ind w:firstLine="284"/>
        <w:spacing w:before="0" w:after="0" w:beforeAutospacing="0" w:afterAutospacing="0"/>
        <w:jc w:val="both"/>
        <w:rPr>
          <w:color w:val="000000"/>
        </w:rPr>
      </w:pPr>
      <w:r/>
      <w:bookmarkEnd w:id="6"/>
      <w:r/>
      <w:bookmarkEnd w:id="7"/>
      <w:r/>
      <w:r>
        <w:rPr>
          <w:color w:val="000000"/>
        </w:rPr>
      </w:r>
    </w:p>
    <w:p>
      <w:pPr>
        <w:pStyle w:val="para8"/>
        <w:ind w:firstLine="284"/>
        <w:spacing w:before="0" w:after="0" w:beforeAutospacing="0" w:afterAutospacing="0"/>
        <w:jc w:val="both"/>
        <w:rPr>
          <w:color w:val="000000"/>
        </w:rPr>
      </w:pPr>
      <w:r>
        <w:rPr>
          <w:b/>
          <w:i/>
          <w:color w:val="000000"/>
        </w:rPr>
        <w:t>Аннотация.</w:t>
      </w:r>
      <w:r>
        <w:rPr>
          <w:color w:val="000000"/>
        </w:rPr>
        <w:t xml:space="preserve"> В статье представляются результаты исследования особенностей жизненной перспективы больных ревматоидным артритом, получающих стандартное лечение и стандартное инновационное лечение (ГИБП).</w:t>
      </w:r>
    </w:p>
    <w:p>
      <w:pPr>
        <w:pStyle w:val="para8"/>
        <w:ind w:firstLine="284"/>
        <w:spacing w:before="0" w:after="0" w:beforeAutospacing="0" w:afterAutospacing="0"/>
        <w:jc w:val="both"/>
        <w:rPr>
          <w:color w:val="000000"/>
        </w:rPr>
      </w:pPr>
      <w:r>
        <w:rPr>
          <w:b/>
          <w:i/>
          <w:color w:val="000000"/>
        </w:rPr>
        <w:t>Ключевые слова</w:t>
      </w:r>
      <w:r>
        <w:rPr>
          <w:b/>
          <w:color w:val="000000"/>
        </w:rPr>
        <w:t>:</w:t>
      </w:r>
      <w:r>
        <w:rPr>
          <w:color w:val="000000"/>
        </w:rPr>
        <w:t xml:space="preserve"> ревматоидный артрит, жизненная перспектива.</w:t>
      </w:r>
    </w:p>
    <w:p>
      <w:pPr>
        <w:pStyle w:val="para8"/>
        <w:ind w:firstLine="284"/>
        <w:spacing w:before="0" w:after="0" w:beforeAutospacing="0" w:afterAutospacing="0"/>
        <w:jc w:val="both"/>
        <w:rPr>
          <w:color w:val="000000"/>
        </w:rPr>
      </w:pPr>
      <w:r>
        <w:rPr>
          <w:color w:val="000000"/>
        </w:rPr>
      </w:r>
    </w:p>
    <w:p>
      <w:pPr>
        <w:ind w:firstLine="284"/>
        <w:spacing w:after="0" w:line="240" w:lineRule="auto"/>
        <w:jc w:val="right"/>
        <w:rPr>
          <w:rFonts w:ascii="Times New Roman" w:hAnsi="Times New Roman"/>
          <w:b/>
          <w:i/>
          <w:color w:val="000000"/>
          <w:sz w:val="24"/>
          <w:szCs w:val="24"/>
          <w:lang w:val="en-us"/>
        </w:rPr>
      </w:pPr>
      <w:r>
        <w:rPr>
          <w:rFonts w:ascii="Times New Roman" w:hAnsi="Times New Roman"/>
          <w:b/>
          <w:i/>
          <w:color w:val="000000"/>
          <w:sz w:val="24"/>
          <w:szCs w:val="24"/>
          <w:lang w:val="en-us"/>
        </w:rPr>
        <w:t>S. V. Karpova, I. M. Marysenko, V. V. Savina</w:t>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lang w:val="en-us"/>
        </w:rPr>
        <w:t>Petrozavodsk State University</w:t>
      </w:r>
      <w:r>
        <w:rPr>
          <w:rFonts w:ascii="Times New Roman" w:hAnsi="Times New Roman"/>
          <w:i/>
          <w:color w:val="000000"/>
          <w:sz w:val="24"/>
          <w:szCs w:val="24"/>
        </w:rPr>
      </w:r>
    </w:p>
    <w:p>
      <w:pPr>
        <w:ind w:firstLine="284"/>
        <w:spacing w:after="0" w:line="240" w:lineRule="auto"/>
        <w:jc w:val="right"/>
        <w:rPr>
          <w:rFonts w:ascii="Times New Roman" w:hAnsi="Times New Roman"/>
          <w:i/>
          <w:color w:val="000000"/>
          <w:sz w:val="24"/>
          <w:szCs w:val="24"/>
          <w:lang w:val="en-us"/>
        </w:rPr>
      </w:pPr>
      <w:r>
        <w:rPr>
          <w:rFonts w:ascii="Times New Roman" w:hAnsi="Times New Roman"/>
          <w:i/>
          <w:color w:val="000000"/>
          <w:sz w:val="24"/>
          <w:szCs w:val="24"/>
          <w:lang w:val="en-us"/>
        </w:rPr>
        <w:t>Petrozavodsk, Russia</w:t>
      </w:r>
    </w:p>
    <w:p>
      <w:pPr>
        <w:ind w:firstLine="284"/>
        <w:spacing w:after="0" w:line="240" w:lineRule="auto"/>
        <w:jc w:val="both"/>
        <w:rPr>
          <w:rFonts w:ascii="Times New Roman" w:hAnsi="Times New Roman"/>
          <w:b/>
          <w:color w:val="000000"/>
          <w:sz w:val="24"/>
          <w:szCs w:val="24"/>
          <w:lang w:val="en-us"/>
        </w:rPr>
      </w:pPr>
      <w:r>
        <w:rPr>
          <w:rFonts w:ascii="Times New Roman" w:hAnsi="Times New Roman"/>
          <w:b/>
          <w:color w:val="000000"/>
          <w:sz w:val="24"/>
          <w:szCs w:val="24"/>
          <w:lang w:val="en-us"/>
        </w:rPr>
      </w:r>
    </w:p>
    <w:p>
      <w:pPr>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LIFE PERSPECTIVE OF PATIENTS WITH RHEUMATOID ARTHRITIS RECEIVING STANDARD INNOVATIVE TREATMENT</w:t>
        <w:br w:type="textWrapping"/>
        <w:t>(GENETICALLY ENGINEERED BIOLOGICS)</w:t>
      </w:r>
    </w:p>
    <w:p>
      <w:pPr>
        <w:pStyle w:val="para8"/>
        <w:ind w:firstLine="284"/>
        <w:spacing w:before="0" w:after="0" w:beforeAutospacing="0" w:afterAutospacing="0"/>
        <w:jc w:val="both"/>
        <w:rPr>
          <w:color w:val="000000"/>
          <w:lang w:val="en-us"/>
        </w:rPr>
      </w:pPr>
      <w:r>
        <w:rPr>
          <w:color w:val="000000"/>
          <w:lang w:val="en-us"/>
        </w:rPr>
      </w:r>
    </w:p>
    <w:p>
      <w:pPr>
        <w:pStyle w:val="para8"/>
        <w:ind w:firstLine="284"/>
        <w:spacing w:before="0" w:after="0" w:beforeAutospacing="0" w:afterAutospacing="0"/>
        <w:jc w:val="both"/>
        <w:rPr>
          <w:b/>
          <w:color w:val="000000"/>
          <w:lang w:val="en-us"/>
        </w:rPr>
      </w:pPr>
      <w:r>
        <w:rPr>
          <w:b/>
          <w:i/>
          <w:color w:val="000000"/>
          <w:lang w:val="en-us"/>
        </w:rPr>
        <w:t>Abstract.</w:t>
      </w:r>
      <w:r>
        <w:rPr>
          <w:b/>
          <w:color w:val="000000"/>
          <w:lang w:val="en-us"/>
        </w:rPr>
        <w:t xml:space="preserve"> </w:t>
      </w:r>
      <w:r>
        <w:rPr>
          <w:color w:val="000000"/>
          <w:lang w:val="en-us"/>
        </w:rPr>
        <w:t>The article presents the results of a study devoted to characteristics of the life prospects of patients with rheumatoid arthritis receiving standard treatment and standard innovative treatment.</w:t>
      </w:r>
      <w:r>
        <w:rPr>
          <w:b/>
          <w:color w:val="000000"/>
          <w:lang w:val="en-us"/>
        </w:rPr>
      </w:r>
    </w:p>
    <w:p>
      <w:pPr>
        <w:pStyle w:val="para8"/>
        <w:ind w:firstLine="284"/>
        <w:spacing w:before="0" w:after="0" w:beforeAutospacing="0" w:afterAutospacing="0"/>
        <w:jc w:val="both"/>
        <w:rPr>
          <w:b/>
          <w:color w:val="000000"/>
          <w:lang w:val="en-us"/>
        </w:rPr>
      </w:pPr>
      <w:r>
        <w:rPr>
          <w:b/>
          <w:i/>
          <w:color w:val="000000"/>
          <w:lang w:val="en-us"/>
        </w:rPr>
        <w:t>Keywords:</w:t>
      </w:r>
      <w:r>
        <w:rPr>
          <w:b/>
          <w:color w:val="000000"/>
          <w:lang w:val="en-us"/>
        </w:rPr>
        <w:t xml:space="preserve"> </w:t>
      </w:r>
      <w:r>
        <w:rPr>
          <w:color w:val="000000"/>
          <w:lang w:val="en-us"/>
        </w:rPr>
        <w:t>rheumatoid arthritis, life perspective.</w:t>
      </w:r>
      <w:r>
        <w:rPr>
          <w:b/>
          <w:color w:val="000000"/>
          <w:lang w:val="en-us"/>
        </w:rPr>
      </w:r>
    </w:p>
    <w:p>
      <w:pPr>
        <w:pStyle w:val="para8"/>
        <w:ind w:firstLine="284"/>
        <w:spacing w:before="0" w:after="0" w:beforeAutospacing="0" w:afterAutospacing="0"/>
        <w:jc w:val="both"/>
        <w:rPr>
          <w:color w:val="000000"/>
          <w:lang w:val="en-us"/>
        </w:rPr>
      </w:pPr>
      <w:r>
        <w:rPr>
          <w:color w:val="000000"/>
          <w:lang w:val="en-us"/>
        </w:rPr>
      </w:r>
    </w:p>
    <w:p>
      <w:pPr>
        <w:pStyle w:val="para8"/>
        <w:ind w:firstLine="284"/>
        <w:spacing w:before="0" w:after="0" w:beforeAutospacing="0" w:afterAutospacing="0"/>
        <w:jc w:val="both"/>
        <w:rPr>
          <w:color w:val="000000"/>
        </w:rPr>
      </w:pPr>
      <w:r>
        <w:rPr>
          <w:color w:val="000000"/>
        </w:rPr>
        <w:t>Ревматоидный артрит (РА) — аутоиммунное заболевание неизвестной этиологии, являющееся одним из самых частых воспалительных заболеваний суставов. Естественное течение заболевания характеризуется неуклонным прогрессированием, кроме того, в условиях неадекватной базисной терапии РА неизбежно приводит к раннему нарушению функциональной способности больных, временной, а затем и стойкой утрате трудоспособности у половины пациентов в течение первых 3—5 лет от начала болезни. Эти особенности РА определяют и развивающиеся социальные ограничения больных и психологические проблемы, что заметно ухудшает качество жизни [9; 10].</w:t>
      </w:r>
    </w:p>
    <w:p>
      <w:pPr>
        <w:pStyle w:val="para8"/>
        <w:ind w:firstLine="284"/>
        <w:spacing w:before="0" w:after="0" w:beforeAutospacing="0" w:afterAutospacing="0"/>
        <w:jc w:val="both"/>
        <w:rPr>
          <w:color w:val="000000"/>
        </w:rPr>
      </w:pPr>
      <w:r>
        <w:rPr>
          <w:color w:val="000000"/>
        </w:rPr>
        <w:t>Современные принципы терапии РА ориентируют ревматолога на достижение ремиссии заболевания или минимальной степени активности для длительно болеющих пациентов [8]. Инструментами в достижении этой цели лечения являются стандартные базисные противовоспалительные препараты (БПВП) и таргетные базисные препараты, к которым относятся блокаторы янус-киназ и генно-инженерные биологические препараты (ГИБП), блокирующие активность ключевых провоспалительных цитокинов и/или патологическую активацию клеток иммунной системы, участвующих в развитии иммуновоспалительного процесса при РА [4; 5; 6].</w:t>
      </w:r>
    </w:p>
    <w:p>
      <w:pPr>
        <w:pStyle w:val="para8"/>
        <w:ind w:firstLine="284"/>
        <w:spacing w:before="0" w:after="0" w:beforeAutospacing="0" w:afterAutospacing="0"/>
        <w:jc w:val="both"/>
        <w:rPr>
          <w:color w:val="000000"/>
        </w:rPr>
      </w:pPr>
      <w:r>
        <w:rPr>
          <w:color w:val="000000"/>
        </w:rPr>
        <w:t>В рекомендациях Европейской антиревматической лиги (EULAR) и национальных рекомендациях Ассоциации ревматологов России (АРР) базисным препаратом первой линии указан метотрексат (МТ), а при ограничениях к его применению — другие стандартные БПВП. При сохраняющейся активности РА ревматолог должен перейти к терапии второй линии — таргетными БПВП [</w:t>
      </w:r>
      <w:r>
        <w:rPr>
          <w:rStyle w:val="char3"/>
          <w:i w:val="0"/>
          <w:color w:val="000000"/>
        </w:rPr>
        <w:t xml:space="preserve">6; </w:t>
      </w:r>
      <w:r>
        <w:rPr>
          <w:color w:val="000000"/>
        </w:rPr>
        <w:t xml:space="preserve">10]. </w:t>
      </w:r>
      <w:r>
        <w:rPr>
          <w:color w:val="000000"/>
        </w:rPr>
      </w:r>
    </w:p>
    <w:p>
      <w:pPr>
        <w:pStyle w:val="para8"/>
        <w:ind w:firstLine="284"/>
        <w:spacing w:before="0" w:after="0" w:beforeAutospacing="0" w:afterAutospacing="0"/>
        <w:jc w:val="both"/>
        <w:rPr>
          <w:color w:val="000000"/>
        </w:rPr>
      </w:pPr>
      <w:r>
        <w:rPr>
          <w:color w:val="000000"/>
        </w:rPr>
        <w:t>Таким образом, ключевой задачей ревматолога при ведении пациента с РА является подбор адекватной базисной терапии, которая позволит достичь стойкой ремиссии. В Республике Карелия 80 % больных РА получают в качестве основного базисного препарата МТ в виде пероральной и подкожной форм. Однако дальнейшее усиление терапии с подключением таргетных БПВП возможно не для всех нуждающихся из-за высокой стоимости лечения, что вынуждает формировать лист ожидания.</w:t>
      </w:r>
    </w:p>
    <w:p>
      <w:pPr>
        <w:pStyle w:val="para8"/>
        <w:ind w:firstLine="284"/>
        <w:spacing w:before="0" w:after="0" w:beforeAutospacing="0" w:afterAutospacing="0"/>
        <w:jc w:val="both"/>
        <w:rPr>
          <w:color w:val="000000"/>
        </w:rPr>
      </w:pPr>
      <w:r>
        <w:rPr>
          <w:color w:val="000000"/>
        </w:rPr>
        <w:t>Проводимая при РА лекарственная терапия позволяет уменьшить болевые ощущения пациента, купировать проявления суставного синдрома, имеющиеся системные проявления РА, а также улучшить качество жизни больного.</w:t>
      </w:r>
    </w:p>
    <w:p>
      <w:pPr>
        <w:pStyle w:val="para8"/>
        <w:ind w:firstLine="284"/>
        <w:spacing w:before="0" w:after="0" w:beforeAutospacing="0" w:afterAutospacing="0"/>
        <w:jc w:val="both"/>
        <w:rPr>
          <w:color w:val="000000"/>
          <w:shd w:val="clear" w:fill="ffffff"/>
        </w:rPr>
      </w:pPr>
      <w:r>
        <w:rPr>
          <w:color w:val="000000"/>
          <w:shd w:val="clear" w:fill="ffffff"/>
        </w:rPr>
        <w:t xml:space="preserve">ВОЗ рекомендует определять качество жизни как взаимосвязь показателей здоровья человека и социально-экономических факторов, которые оценивают как комплекс физических, эмоциональных, психических и интеллектуальных характеристик человека, определяющих его индивидуальную способность к функционированию в обществе. </w:t>
      </w:r>
    </w:p>
    <w:p>
      <w:pPr>
        <w:pStyle w:val="para8"/>
        <w:ind w:firstLine="284"/>
        <w:spacing w:before="0" w:after="0" w:beforeAutospacing="0" w:afterAutospacing="0"/>
        <w:jc w:val="both"/>
        <w:rPr>
          <w:color w:val="000000"/>
          <w:shd w:val="clear" w:fill="ffffff"/>
        </w:rPr>
      </w:pPr>
      <w:r>
        <w:rPr>
          <w:color w:val="000000"/>
          <w:shd w:val="clear" w:fill="ffffff"/>
        </w:rPr>
        <w:t>Помимо влияния на качество жизни РА оказывает значимое влияние и на социальное функционирование, приводя к несостоятельности индивида. Сложный характер заболевания, неблагоприятные перспективы течения болезни могут отразиться и на жизненных перспективах больного. Прогрессирующее течение РА, хронический болевой синдром, развивающиеся деформации суставов с ограничением физических возможностей, а также значительное снижение или потеря трудоспособности ведут к разрыву социальных связей больных РА, вынуждая их сменить место работы или профессию, нарушая семейные отношения, делая пациентов РА уязвимыми и в психоэмоциональном, и в социальном аспектах жизни, одинокими, беспомощными и зависимыми от близких [5, с. 14].</w:t>
      </w:r>
    </w:p>
    <w:p>
      <w:pPr>
        <w:pStyle w:val="para8"/>
        <w:ind w:firstLine="284"/>
        <w:spacing w:before="0" w:after="0" w:beforeAutospacing="0" w:afterAutospacing="0"/>
        <w:jc w:val="both"/>
        <w:rPr>
          <w:color w:val="000000"/>
          <w:shd w:val="clear" w:fill="ffffff"/>
        </w:rPr>
      </w:pPr>
      <w:r>
        <w:rPr>
          <w:color w:val="000000"/>
          <w:shd w:val="clear" w:fill="ffffff"/>
        </w:rPr>
        <w:t xml:space="preserve">У больных РА часто остаются нераспознанными и нелеченными депрессивные расстройства вследствие того, что тревога и депрессия чаще рассматриваются как нормальная реакция на хроническое заболевание, а все внимание обращено на физические аспекты заболевания. «Данные по распространенности психоэмоциональных нарушений среди пациентов с РА колеблются от 30 до 87 %. Особое значение имеют тревожно-депрессивные состояния, которые значительно утяжеляют течение заболевания, являются одной из причин ухудшения качества жизни больных, в существенной степени нарушая адаптационные возможности и социальное функционирование, снижая приверженность к лечению и участию в реабилитационных программах» [6, с. 36]. </w:t>
      </w:r>
    </w:p>
    <w:p>
      <w:pPr>
        <w:pStyle w:val="para8"/>
        <w:ind w:firstLine="284"/>
        <w:spacing w:before="0" w:after="0" w:beforeAutospacing="0" w:afterAutospacing="0"/>
        <w:jc w:val="both"/>
        <w:rPr>
          <w:color w:val="000000"/>
        </w:rPr>
      </w:pPr>
      <w:r>
        <w:rPr>
          <w:color w:val="000000"/>
        </w:rPr>
        <w:t xml:space="preserve">Имея представление о качестве жизни, необходимо рассмотреть понятие жизненной или временной перспективы. </w:t>
      </w:r>
    </w:p>
    <w:p>
      <w:pPr>
        <w:pStyle w:val="para8"/>
        <w:ind w:firstLine="284"/>
        <w:spacing w:before="0" w:after="0" w:beforeAutospacing="0" w:afterAutospacing="0"/>
        <w:jc w:val="both"/>
        <w:rPr>
          <w:color w:val="000000"/>
        </w:rPr>
      </w:pPr>
      <w:r>
        <w:rPr>
          <w:color w:val="000000"/>
        </w:rPr>
        <w:t xml:space="preserve">Понятие временной перспективы ввел К. Левин. Пытаясь установить взаимосвязь между прошлым, настоящим и будущим, он подчеркивал, что когда человек воспринимает, переживает свое теперешнее положение, то оно неминуемо связано с его ожиданиями, желаниями, представлениями о будущем и прошлом. Такое включение будущего и прошлого жизни в контекст настоящего и их существование в настоящем К. Левин и назвал временной перспективой, определив ее как «существующую в настоящий момент целостность видения индивидом своего психологического будущего и своего психологического прошлого» (Lewin, 1942). Его точки зрения придерживалась Б. В. Зейгарник, оценивая временную перспективу как «включение будущего и прошлого, реального и ирреального плана жизни в план данного момента» [1]. </w:t>
      </w:r>
    </w:p>
    <w:p>
      <w:pPr>
        <w:pStyle w:val="para8"/>
        <w:ind w:firstLine="284"/>
        <w:spacing w:before="0" w:after="0" w:beforeAutospacing="0" w:afterAutospacing="0"/>
        <w:jc w:val="both"/>
        <w:rPr>
          <w:color w:val="000000"/>
        </w:rPr>
      </w:pPr>
      <w:r>
        <w:rPr>
          <w:color w:val="000000"/>
        </w:rPr>
        <w:t>На современном этапе развития психологического знания выделяются следующие подходы в понимании термина «жизненная перспектива личности»: «мотивационный (Т. Гисме, З. Залесски, К. Левин, В. Ленс, Ж. Нюттен, Л. К. Франк, Н. Фрезер,), событийный (Р. А. Ахмеров, Е. М. Головаха, А. А. Кроник, Д. А. Леонтьев, Е. Ю. Мандрикова, Н. Н. Толстых, В. С. Хомик, Е. В. Шелобанова), типологический (К. А. Альбуханова-Славская, Т. Н. Березина, В. И. Ковалев, Л. Ю. Кублицкене, В. Ф. Серенкова), образовательный (М. Р. Гинзбург, И. В. Дубровина, Н. Н. Толстых), прогностический (П. К. Анохин, Н. А. Бернштейн, В. А. Иванников, Л. А. Регуш)» [3, с. 58].</w:t>
      </w:r>
    </w:p>
    <w:p>
      <w:pPr>
        <w:pStyle w:val="para8"/>
        <w:ind w:firstLine="284"/>
        <w:spacing w:before="0" w:after="0" w:beforeAutospacing="0" w:afterAutospacing="0"/>
        <w:jc w:val="both"/>
        <w:rPr>
          <w:color w:val="000000"/>
        </w:rPr>
      </w:pPr>
      <w:r>
        <w:rPr>
          <w:color w:val="000000"/>
        </w:rPr>
        <w:t>Указанными авторами описаны закономерности предвосхищения предстоящих событий, предвидения будущего, постановка целей и выбор путей их достижения, доминирующее воздействие жизненных планов на поведение и деятельность людей в настоящем. Работы данных авторов свидетельствуют о том, как прослеживается особая научная парадигма в понятии «жизненная перспектива», в них выделяется ряд составляющих, определяющих содержание жизненной перспективы личности: цели, планы, способы их реализации, мотивы, ожидаемые события, смыслы, ценностные ориентации.</w:t>
      </w:r>
    </w:p>
    <w:p>
      <w:pPr>
        <w:pStyle w:val="para8"/>
        <w:ind w:firstLine="284"/>
        <w:spacing w:before="0" w:after="0" w:beforeAutospacing="0" w:afterAutospacing="0"/>
        <w:jc w:val="both"/>
        <w:rPr>
          <w:color w:val="000000"/>
        </w:rPr>
      </w:pPr>
      <w:r>
        <w:rPr>
          <w:color w:val="000000"/>
        </w:rPr>
        <w:t xml:space="preserve">Жизненная перспектива, в отличие от жизненной программы, всегда являющейся желанной для личности, может быть не очень приятной. Личностные перспективы не требуют волевых решений, а их реализация может происходить без участия субъекта жизнедеятельности. До тех пор пока личность не осознает свою жизненную перспективу, она не способна адекватно выявить свои потенциальные возможности, не может понять смысл своей собственной жизни, получить чувство управления ею. На определенном этапе жизненного пути целесообразными являются осознанные реалистичные перспективы, соответствующие особенностям возраста, предыдущему уровню достижений, потенциальным возможностям человека, в том числе исходящим из состояния его здоровья. Настоящие перспективы необходимо понять в той жизненной ситуации, которая сегодня сложилась, в понимании человеком своего места в этой ситуации. </w:t>
      </w:r>
    </w:p>
    <w:p>
      <w:pPr>
        <w:pStyle w:val="para8"/>
        <w:ind w:firstLine="284"/>
        <w:spacing w:before="0" w:after="0" w:beforeAutospacing="0" w:afterAutospacing="0"/>
        <w:jc w:val="both"/>
        <w:rPr>
          <w:color w:val="000000"/>
        </w:rPr>
      </w:pPr>
      <w:r>
        <w:rPr>
          <w:color w:val="000000"/>
        </w:rPr>
        <w:t xml:space="preserve">Жизненная перспектива — не застывшее образование, на каждом качественно новом этапе жизненного пути должно формироваться специфическое содержание перспективы, в которой одни компоненты сохраняют преемственность, а другие — отражают реальные изменения в окружающем мире и в самом человеке. Ревматоидный артрит — серьезное заболевание, меняющее многое в жизни человека, дебют болезни и начало лечения меняют жизнь человека и могут рассматриваться как новый, качественно иной этап в жизни пациента. </w:t>
      </w:r>
    </w:p>
    <w:p>
      <w:pPr>
        <w:pStyle w:val="para8"/>
        <w:ind w:firstLine="284"/>
        <w:spacing w:before="0" w:after="0" w:beforeAutospacing="0" w:afterAutospacing="0"/>
        <w:jc w:val="both"/>
        <w:rPr>
          <w:b/>
          <w:color w:val="000000"/>
        </w:rPr>
      </w:pPr>
      <w:r>
        <w:rPr>
          <w:color w:val="000000"/>
        </w:rPr>
        <w:t>В Петрозаводском университете кафедрой госпитальной терапии Медицинского института и кафедрой психологии Института педагогики и психологии совместно с ревматологическим отделением ГБУЗ «Республиканская больница им. В. А. Баранова» выполнено открытое исследование на основании гипотезы о том, что</w:t>
      </w:r>
      <w:r>
        <w:rPr>
          <w:b/>
          <w:i/>
          <w:color w:val="000000"/>
        </w:rPr>
        <w:t xml:space="preserve"> </w:t>
      </w:r>
      <w:r>
        <w:rPr>
          <w:color w:val="000000"/>
        </w:rPr>
        <w:t>жизненная перспектива больных РА, получающих стандартную и таргетную базисную терапию, имеет различия. В</w:t>
      </w:r>
      <w:r>
        <w:rPr>
          <w:b/>
          <w:i/>
          <w:color w:val="000000"/>
        </w:rPr>
        <w:t xml:space="preserve"> </w:t>
      </w:r>
      <w:r>
        <w:rPr>
          <w:color w:val="000000"/>
        </w:rPr>
        <w:t>исследовании приняли участие 60 пациентов с достоверным РА в возрасте от 34 до 74 лет, которые составили две равные группы со сходными характеристиками РА и разными вариантами базисной терапии. В первую группу вошли 30 больных РА, получающих терапию стандартными БПВП (преимущественно метотрексат), а во вторую группу — 30 больных, получающих ГИБП в дополнение к стандартному БПВП. Средний возраст в каждой группе составил 54 года</w:t>
      </w:r>
      <w:r>
        <w:rPr>
          <w:b/>
          <w:color w:val="000000"/>
        </w:rPr>
        <w:t>.</w:t>
      </w:r>
      <w:r>
        <w:rPr>
          <w:b/>
          <w:color w:val="000000"/>
        </w:rPr>
      </w:r>
    </w:p>
    <w:p>
      <w:pPr>
        <w:pStyle w:val="para8"/>
        <w:ind w:firstLine="284"/>
        <w:spacing w:before="0" w:after="0" w:beforeAutospacing="0" w:afterAutospacing="0"/>
        <w:jc w:val="both"/>
        <w:rPr>
          <w:color w:val="000000"/>
        </w:rPr>
      </w:pPr>
      <w:r>
        <w:rPr>
          <w:color w:val="000000"/>
        </w:rPr>
        <w:t>В рамках исследования проведено анкетирование с использованием опросников: SF-36, теста смысложизненных ориентаций (СЖО) Д. А. Леонтьева, опросников (УСК) «Уровень субъективного контроля» и SCL-90-R («Опросник выраженности психопатологической симптоматики»); специально разработанная анкета.</w:t>
      </w:r>
      <w:r>
        <w:rPr>
          <w:b/>
          <w:color w:val="000000"/>
        </w:rPr>
        <w:t xml:space="preserve"> </w:t>
      </w:r>
      <w:r>
        <w:rPr>
          <w:color w:val="000000"/>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Сравнительный анализ компонентов качества жизни (КЖ) пациентов обеих групп представлен в таблице 1.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Таблица 1</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 xml:space="preserve">Сравнительный анализ компонентов КЖ пациентов с РА, получающих </w:t>
        <w:br w:type="textWrapping"/>
        <w:t xml:space="preserve">стандартное инновационное лечение (ГИБП) (1-я группа), и пациентов с РА, </w:t>
        <w:br w:type="textWrapping"/>
        <w:t>получающих стандартное лечение (2-я группа)</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6"/>
        <w:tabOrder w:val="0"/>
        <w:jc w:val="center"/>
        <w:tblInd w:w="0" w:type="dxa"/>
        <w:tblW w:w="9639" w:type="dxa"/>
        <w:pPr>
          <w:spacing w:after="0" w:line="240" w:lineRule="auto"/>
          <w:jc w:val="center"/>
          <w:suppressAutoHyphens/>
          <w:hyphenationLines w:val="0"/>
          <w:widowControl w:val="0"/>
        </w:pPr>
        <w:tblLook w:val="04A0" w:firstRow="1" w:lastRow="0" w:firstColumn="1" w:lastColumn="0" w:noHBand="0" w:noVBand="1"/>
      </w:tblPr>
      <w:tblGrid>
        <w:gridCol w:w="1138"/>
        <w:gridCol w:w="531"/>
        <w:gridCol w:w="531"/>
        <w:gridCol w:w="531"/>
        <w:gridCol w:w="532"/>
        <w:gridCol w:w="531"/>
        <w:gridCol w:w="531"/>
        <w:gridCol w:w="532"/>
        <w:gridCol w:w="531"/>
        <w:gridCol w:w="531"/>
        <w:gridCol w:w="532"/>
        <w:gridCol w:w="531"/>
        <w:gridCol w:w="531"/>
        <w:gridCol w:w="532"/>
        <w:gridCol w:w="531"/>
        <w:gridCol w:w="531"/>
        <w:gridCol w:w="532"/>
      </w:tblGrid>
      <w:tr>
        <w:trPr>
          <w:tblHeader w:val="0"/>
          <w:trKeepWithNext w:val="0"/>
          <w:trBreak w:val="0"/>
          <w:cantSplit w:val="0"/>
          <w:trHeight w:val="406" w:hRule="atLeast"/>
        </w:trPr>
        <w:tc>
          <w:tcPr>
            <w:tcW w:w="1138"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PF</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RP</w:t>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BP</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GH</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VT</w:t>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SF</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RE</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MH</w:t>
            </w:r>
          </w:p>
        </w:tc>
      </w:tr>
      <w:tr>
        <w:trPr>
          <w:tblHeader w:val="0"/>
          <w:trKeepWithNext w:val="0"/>
          <w:trBreak w:val="0"/>
          <w:cantSplit w:val="0"/>
          <w:trHeight w:val="385" w:hRule="atLeast"/>
        </w:trPr>
        <w:tc>
          <w:tcPr>
            <w:tcW w:w="1138"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Группа</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r>
      <w:tr>
        <w:trPr>
          <w:tblHeader w:val="0"/>
          <w:trKeepWithNext w:val="0"/>
          <w:trBreak w:val="0"/>
          <w:cantSplit w:val="0"/>
          <w:trHeight w:val="379" w:hRule="atLeast"/>
        </w:trPr>
        <w:tc>
          <w:tcPr>
            <w:tcW w:w="1138"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М</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61</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52</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59</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53</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63</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45</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50</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43</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69</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61</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77</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72</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71</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66</w:t>
            </w:r>
          </w:p>
        </w:tc>
        <w:tc>
          <w:tcPr>
            <w:tcW w:w="531"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77</w:t>
            </w:r>
          </w:p>
        </w:tc>
        <w:tc>
          <w:tcPr>
            <w:tcW w:w="5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70</w:t>
            </w:r>
          </w:p>
        </w:tc>
      </w:tr>
      <w:tr>
        <w:trPr>
          <w:tblHeader w:val="0"/>
          <w:trKeepWithNext w:val="0"/>
          <w:trBreak w:val="0"/>
          <w:cantSplit w:val="0"/>
          <w:trHeight w:val="369" w:hRule="atLeast"/>
        </w:trPr>
        <w:tc>
          <w:tcPr>
            <w:tcW w:w="1138"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S</w:t>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24</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21</w:t>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23</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16</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22</w:t>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21</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22</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20</w:t>
            </w:r>
          </w:p>
        </w:tc>
      </w:tr>
      <w:tr>
        <w:trPr>
          <w:tblHeader w:val="0"/>
          <w:trKeepWithNext w:val="0"/>
          <w:trBreak w:val="0"/>
          <w:cantSplit w:val="0"/>
          <w:trHeight w:val="355" w:hRule="atLeast"/>
        </w:trPr>
        <w:tc>
          <w:tcPr>
            <w:tcW w:w="1138"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Т</w:t>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1,33</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0,84</w:t>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3,29*</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1,62</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1,47</w:t>
            </w:r>
          </w:p>
        </w:tc>
        <w:tc>
          <w:tcPr>
            <w:tcW w:w="1062"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0,97</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0,84</w:t>
            </w:r>
          </w:p>
        </w:tc>
        <w:tc>
          <w:tcPr>
            <w:tcW w:w="106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1,14</w:t>
            </w:r>
          </w:p>
        </w:tc>
      </w:tr>
    </w:tbl>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i/>
          <w:color w:val="000000"/>
          <w:sz w:val="24"/>
          <w:szCs w:val="24"/>
        </w:rPr>
        <w:t>Примечание.</w:t>
      </w:r>
      <w:r>
        <w:rPr>
          <w:rFonts w:ascii="Times New Roman" w:hAnsi="Times New Roman"/>
          <w:color w:val="000000"/>
          <w:sz w:val="24"/>
          <w:szCs w:val="24"/>
        </w:rPr>
        <w:t xml:space="preserve"> Статистически значимые различия по t-критерию Стьюдента при р ≤ 0,05 отмечены*. Результаты представлений испытуемых о компонентах качества жизни, где: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PF — физическое функционирование;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RP — ролевое функционирование, обусловленное физическим состоянием;</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BP — интенсивность боли;</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GH — общее состояние здоровья;</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VT — жизненная активность (жизнеспособность);</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SF — социальное функционирование;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RE — ролевое функционирование, обусловленное эмоциональным состоянием;</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MH — психическое здоровье;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М — среднее арифметическое;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S — стандартное отклонение;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 xml:space="preserve">Т — значение Т-критерия Стьюдента. </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Анализ полученных данных выявил, что почти все представления об основных компонентах КЖ у пациентов обеих групп существенно не отличаются. Однако достоверные различия между группами выявлены по компоненту «Интенсивность боли»: во второй группе болевые ощущения у пациентов выражены значительно сильнее по сравнению с первой группой. Их физическое состояние сильнее ограничивает выполнение таких физических действий, как ходьба, спуск и подъем по лестнице, ношение тяжестей, самообслуживание. В связи с этим повседневная деятельность больных 2-й группы заметно ограничена физическим состоянием здоровья. Общее состояние здоровья пациенты обеих групп отмечают как пониженное, но при этом больные 2-й группы свое общее состояние здоровья оценивают хуже, чем больные 1-й группы.</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В целом различия показателей шкал «Интенсивность боли», «Жизненная активность», «Социальное функционирование», «Ролевое функционирование», «Психическое здоровье» статистически не значимы, однако среди больных, получающих ГИБП, наблюдается тенденция к более позитивной оценке своего состояния.</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Полученные результаты (SCL-90-R) исследования выраженности психопатологической симптоматики пациентов с РА обеих групп помогли выявить особенности состояния по группам, что отражено на рисунке 1.</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
        <w:rPr>
          <w:noProof/>
        </w:rPr>
        <w:drawing>
          <wp:inline distT="89535" distB="89535" distL="89535" distR="89535">
            <wp:extent cx="6004560" cy="2767965"/>
            <wp:effectExtent l="0" t="0" r="0" b="0"/>
            <wp:docPr id="4" name="Изображение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16"/>
                    <pic:cNvPicPr>
                      <a:picLocks noChangeAspect="1"/>
                      <a:extLst>
                        <a:ext uri="sm">
                          <sm:smNativeData xmlns:sm="sm" val="SMDATA_17_A3dgZ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PAkAAAHEQAA8CQAAAcR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LAQAAB6IAAAAAAAAAAAAAAAAAAAAAAAADFwAAAAAAAAAAAAAmEQAA8CQAAAcRAAAPAAAAAxcAACYRAAAoAAAACAAAAAEAAAABAAAAMAAAABQAAAAAAAAAAAD//wAAAQAAAP//AAABAA=="/>
                        </a:ext>
                      </a:extLst>
                    </pic:cNvPicPr>
                  </pic:nvPicPr>
                  <pic:blipFill>
                    <a:blip r:embed="rId15"/>
                    <a:stretch>
                      <a:fillRect/>
                    </a:stretch>
                  </pic:blipFill>
                  <pic:spPr>
                    <a:xfrm>
                      <a:off x="0" y="0"/>
                      <a:ext cx="6004560" cy="2767965"/>
                    </a:xfrm>
                    <a:prstGeom prst="rect">
                      <a:avLst/>
                    </a:prstGeom>
                    <a:noFill/>
                    <a:ln w="12700">
                      <a:noFill/>
                    </a:ln>
                  </pic:spPr>
                </pic:pic>
              </a:graphicData>
            </a:graphic>
          </wp:inline>
        </w:drawing>
      </w:r>
      <w:r/>
      <w:r>
        <w:rPr>
          <w:rFonts w:ascii="Times New Roman" w:hAnsi="Times New Roman"/>
          <w:color w:val="000000"/>
          <w:sz w:val="24"/>
          <w:szCs w:val="24"/>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i/>
          <w:color w:val="000000"/>
          <w:sz w:val="24"/>
          <w:szCs w:val="24"/>
        </w:rPr>
        <w:t>Рис. 1.</w:t>
      </w:r>
      <w:r>
        <w:rPr>
          <w:rFonts w:ascii="Times New Roman" w:hAnsi="Times New Roman"/>
          <w:b/>
          <w:color w:val="000000"/>
          <w:sz w:val="24"/>
          <w:szCs w:val="24"/>
        </w:rPr>
        <w:t xml:space="preserve"> </w:t>
      </w:r>
      <w:r>
        <w:rPr>
          <w:rFonts w:ascii="Times New Roman" w:hAnsi="Times New Roman"/>
          <w:color w:val="000000"/>
          <w:sz w:val="24"/>
          <w:szCs w:val="24"/>
        </w:rPr>
        <w:t>Результаты исследования уровня выраженности психопатологической симптоматики:</w:t>
      </w:r>
      <w:r>
        <w:rPr>
          <w:rFonts w:ascii="Times New Roman" w:hAnsi="Times New Roman"/>
          <w:i/>
          <w:color w:val="000000"/>
          <w:sz w:val="24"/>
          <w:szCs w:val="24"/>
        </w:rPr>
        <w:t xml:space="preserve"> </w:t>
      </w:r>
      <w:r>
        <w:rPr>
          <w:rFonts w:ascii="Times New Roman" w:hAnsi="Times New Roman"/>
          <w:color w:val="000000"/>
          <w:sz w:val="24"/>
          <w:szCs w:val="24"/>
        </w:rPr>
        <w:t xml:space="preserve">1 — соматизация; 2 — обсессивно-компульсивные расстройства; 3 — межличностная </w:t>
        <w:br w:type="textWrapping"/>
        <w:t xml:space="preserve">сензитивность; 4 — депрессия; 5 — тревожность; 6 — враждебность; </w:t>
        <w:br w:type="textWrapping"/>
        <w:t xml:space="preserve">7 — фобическая тревожность; 8 — паранойяльные симптомы; 9 — психотизм; </w:t>
        <w:br w:type="textWrapping"/>
        <w:t>10 — общий индекс тяжести симптомов (GSI)</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Сравнительный анализ показал отсутствие статистически значимых различий, но при этом уровень соматизации, обсессивно-компульсивных расстройств, межличностной сенситивности и депрессии выше нормативных значений у испытуемых обеих групп. Уровень депрессивности у пациентов 2-й группы оказался выше в сравнении с первой, а уровень соматизации — значительно выше нормы (0,36 баллов) и также выше, чем у больных 1-й группы.</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Таким образом, пациенты обеих групп (особенно пациенты, получающие стандартные БПВП) испытывают больший дискомфорт по состоянию здоровья в сравнении с нормой, а больные 2-й группы объективно чувствуют себя хуже, чем пациенты, получающие ГИБП.</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Изучение уровня субъективного контроля (опросник СЖО) выявило достоверные различия между группами пациентов, получающих разную терапию, по компонентам «Локус контроля — Я» и «Локус контроля — жизнь», что отражено в таблице 2.</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Таблица 2</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 xml:space="preserve">Сравнительный анализ компонентов локуса контроля, определенных </w:t>
        <w:br w:type="textWrapping"/>
        <w:t xml:space="preserve">смысложизненных ориентаций и общего показателя осмысленности жизни пациентов </w:t>
        <w:br w:type="textWrapping"/>
        <w:t xml:space="preserve">с РА, получающих стандартное инновационное лечение (ГИБП) (1-я группа), </w:t>
        <w:br w:type="textWrapping"/>
        <w:t>и пациентов с РА, получающих стандартное лечение (2-я группа)</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7"/>
        <w:tabOrder w:val="0"/>
        <w:jc w:val="center"/>
        <w:tblInd w:w="0" w:type="dxa"/>
        <w:tblW w:w="9639" w:type="dxa"/>
        <w:pPr>
          <w:spacing w:after="0" w:line="240" w:lineRule="auto"/>
          <w:jc w:val="center"/>
          <w:suppressAutoHyphens/>
          <w:hyphenationLines w:val="0"/>
          <w:widowControl w:val="0"/>
        </w:pPr>
        <w:tblLook w:val="04A0" w:firstRow="1" w:lastRow="0" w:firstColumn="1" w:lastColumn="0" w:noHBand="0" w:noVBand="1"/>
      </w:tblPr>
      <w:tblGrid>
        <w:gridCol w:w="1142"/>
        <w:gridCol w:w="707"/>
        <w:gridCol w:w="616"/>
        <w:gridCol w:w="589"/>
        <w:gridCol w:w="589"/>
        <w:gridCol w:w="883"/>
        <w:gridCol w:w="736"/>
        <w:gridCol w:w="735"/>
        <w:gridCol w:w="736"/>
        <w:gridCol w:w="589"/>
        <w:gridCol w:w="589"/>
        <w:gridCol w:w="1019"/>
        <w:gridCol w:w="709"/>
      </w:tblGrid>
      <w:tr>
        <w:trPr>
          <w:tblHeader w:val="0"/>
          <w:trKeepWithNext w:val="0"/>
          <w:trBreak w:val="0"/>
          <w:cantSplit w:val="0"/>
          <w:trHeight w:val="596" w:hRule="atLeast"/>
        </w:trPr>
        <w:tc>
          <w:tcPr>
            <w:tcW w:w="114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b/>
                <w:color w:val="000000"/>
                <w:lang w:eastAsia="en-us"/>
              </w:rPr>
            </w:pPr>
            <w:r>
              <w:rPr>
                <w:b/>
                <w:color w:val="000000"/>
                <w:lang w:eastAsia="en-us"/>
              </w:rPr>
            </w:r>
          </w:p>
        </w:tc>
        <w:tc>
          <w:tcPr>
            <w:tcW w:w="132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b/>
                <w:color w:val="000000"/>
                <w:lang w:eastAsia="en-us"/>
              </w:rPr>
            </w:pPr>
            <w:r>
              <w:rPr>
                <w:b/>
                <w:color w:val="000000"/>
                <w:lang w:eastAsia="en-us"/>
              </w:rPr>
              <w:t>Цели</w:t>
              <w:br w:type="textWrapping"/>
              <w:t>в жизни</w:t>
            </w:r>
          </w:p>
        </w:tc>
        <w:tc>
          <w:tcPr>
            <w:tcW w:w="1178"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b/>
                <w:color w:val="000000"/>
                <w:lang w:eastAsia="en-us"/>
              </w:rPr>
            </w:pPr>
            <w:r>
              <w:rPr>
                <w:b/>
                <w:color w:val="000000"/>
                <w:lang w:eastAsia="en-us"/>
              </w:rPr>
              <w:t>Процесс жизни</w:t>
            </w:r>
          </w:p>
        </w:tc>
        <w:tc>
          <w:tcPr>
            <w:tcW w:w="1619"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b/>
                <w:color w:val="000000"/>
                <w:lang w:eastAsia="en-us"/>
              </w:rPr>
            </w:pPr>
            <w:r>
              <w:rPr>
                <w:b/>
                <w:color w:val="000000"/>
                <w:lang w:eastAsia="en-us"/>
              </w:rPr>
              <w:t>Результа-тивность жизни</w:t>
            </w:r>
          </w:p>
        </w:tc>
        <w:tc>
          <w:tcPr>
            <w:tcW w:w="1471"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b/>
                <w:color w:val="000000"/>
                <w:lang w:eastAsia="en-us"/>
              </w:rPr>
            </w:pPr>
            <w:r>
              <w:rPr>
                <w:b/>
                <w:color w:val="000000"/>
                <w:lang w:eastAsia="en-us"/>
              </w:rPr>
              <w:t>Локус контроля — Я</w:t>
            </w:r>
          </w:p>
        </w:tc>
        <w:tc>
          <w:tcPr>
            <w:tcW w:w="1178"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b/>
                <w:color w:val="000000"/>
                <w:lang w:eastAsia="en-us"/>
              </w:rPr>
            </w:pPr>
            <w:r>
              <w:rPr>
                <w:b/>
                <w:color w:val="000000"/>
                <w:lang w:eastAsia="en-us"/>
              </w:rPr>
              <w:t>Локус контроля — жизнь</w:t>
            </w:r>
          </w:p>
        </w:tc>
        <w:tc>
          <w:tcPr>
            <w:tcW w:w="1728"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b/>
                <w:color w:val="000000"/>
                <w:lang w:eastAsia="en-us"/>
              </w:rPr>
            </w:pPr>
            <w:r>
              <w:rPr>
                <w:b/>
                <w:color w:val="000000"/>
                <w:lang w:eastAsia="en-us"/>
              </w:rPr>
              <w:t>Общий показатель осмысленности жизни</w:t>
            </w:r>
          </w:p>
        </w:tc>
      </w:tr>
      <w:tr>
        <w:trPr>
          <w:tblHeader w:val="0"/>
          <w:trKeepWithNext w:val="0"/>
          <w:trBreak w:val="0"/>
          <w:cantSplit w:val="0"/>
          <w:trHeight w:val="420" w:hRule="atLeast"/>
        </w:trPr>
        <w:tc>
          <w:tcPr>
            <w:tcW w:w="114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Группа</w:t>
            </w:r>
          </w:p>
        </w:tc>
        <w:tc>
          <w:tcPr>
            <w:tcW w:w="707"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1</w:t>
            </w:r>
          </w:p>
        </w:tc>
        <w:tc>
          <w:tcPr>
            <w:tcW w:w="61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2</w:t>
            </w:r>
          </w:p>
        </w:tc>
        <w:tc>
          <w:tcPr>
            <w:tcW w:w="58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1</w:t>
            </w:r>
          </w:p>
        </w:tc>
        <w:tc>
          <w:tcPr>
            <w:tcW w:w="58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2</w:t>
            </w:r>
          </w:p>
        </w:tc>
        <w:tc>
          <w:tcPr>
            <w:tcW w:w="883"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1</w:t>
            </w:r>
          </w:p>
        </w:tc>
        <w:tc>
          <w:tcPr>
            <w:tcW w:w="73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2</w:t>
            </w:r>
          </w:p>
        </w:tc>
        <w:tc>
          <w:tcPr>
            <w:tcW w:w="73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1</w:t>
            </w:r>
          </w:p>
        </w:tc>
        <w:tc>
          <w:tcPr>
            <w:tcW w:w="73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2</w:t>
            </w:r>
          </w:p>
        </w:tc>
        <w:tc>
          <w:tcPr>
            <w:tcW w:w="58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1</w:t>
            </w:r>
          </w:p>
        </w:tc>
        <w:tc>
          <w:tcPr>
            <w:tcW w:w="58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2</w:t>
            </w:r>
          </w:p>
        </w:tc>
        <w:tc>
          <w:tcPr>
            <w:tcW w:w="101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1</w:t>
            </w:r>
          </w:p>
        </w:tc>
        <w:tc>
          <w:tcPr>
            <w:tcW w:w="70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2</w:t>
            </w:r>
          </w:p>
        </w:tc>
      </w:tr>
      <w:tr>
        <w:trPr>
          <w:tblHeader w:val="0"/>
          <w:trKeepWithNext w:val="0"/>
          <w:trBreak w:val="0"/>
          <w:cantSplit w:val="0"/>
          <w:trHeight w:val="319" w:hRule="atLeast"/>
        </w:trPr>
        <w:tc>
          <w:tcPr>
            <w:tcW w:w="114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М</w:t>
            </w:r>
          </w:p>
        </w:tc>
        <w:tc>
          <w:tcPr>
            <w:tcW w:w="707"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36</w:t>
            </w:r>
          </w:p>
        </w:tc>
        <w:tc>
          <w:tcPr>
            <w:tcW w:w="61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33</w:t>
            </w:r>
          </w:p>
        </w:tc>
        <w:tc>
          <w:tcPr>
            <w:tcW w:w="58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29</w:t>
            </w:r>
          </w:p>
        </w:tc>
        <w:tc>
          <w:tcPr>
            <w:tcW w:w="58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28</w:t>
            </w:r>
          </w:p>
        </w:tc>
        <w:tc>
          <w:tcPr>
            <w:tcW w:w="883"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27</w:t>
            </w:r>
          </w:p>
        </w:tc>
        <w:tc>
          <w:tcPr>
            <w:tcW w:w="73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26</w:t>
            </w:r>
          </w:p>
        </w:tc>
        <w:tc>
          <w:tcPr>
            <w:tcW w:w="73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22</w:t>
            </w:r>
          </w:p>
        </w:tc>
        <w:tc>
          <w:tcPr>
            <w:tcW w:w="73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19</w:t>
            </w:r>
          </w:p>
        </w:tc>
        <w:tc>
          <w:tcPr>
            <w:tcW w:w="58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32</w:t>
            </w:r>
          </w:p>
        </w:tc>
        <w:tc>
          <w:tcPr>
            <w:tcW w:w="58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29</w:t>
            </w:r>
          </w:p>
        </w:tc>
        <w:tc>
          <w:tcPr>
            <w:tcW w:w="101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107</w:t>
            </w:r>
          </w:p>
        </w:tc>
        <w:tc>
          <w:tcPr>
            <w:tcW w:w="70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99</w:t>
            </w:r>
          </w:p>
        </w:tc>
      </w:tr>
      <w:tr>
        <w:trPr>
          <w:tblHeader w:val="0"/>
          <w:trKeepWithNext w:val="0"/>
          <w:trBreak w:val="0"/>
          <w:cantSplit w:val="0"/>
          <w:trHeight w:val="313" w:hRule="atLeast"/>
        </w:trPr>
        <w:tc>
          <w:tcPr>
            <w:tcW w:w="114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S</w:t>
            </w:r>
          </w:p>
        </w:tc>
        <w:tc>
          <w:tcPr>
            <w:tcW w:w="132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4,46</w:t>
            </w:r>
          </w:p>
        </w:tc>
        <w:tc>
          <w:tcPr>
            <w:tcW w:w="1178"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5,04</w:t>
            </w:r>
          </w:p>
        </w:tc>
        <w:tc>
          <w:tcPr>
            <w:tcW w:w="1619"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3,71</w:t>
            </w:r>
          </w:p>
        </w:tc>
        <w:tc>
          <w:tcPr>
            <w:tcW w:w="1471"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3,08</w:t>
            </w:r>
          </w:p>
        </w:tc>
        <w:tc>
          <w:tcPr>
            <w:tcW w:w="1178"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4,31</w:t>
            </w:r>
          </w:p>
        </w:tc>
        <w:tc>
          <w:tcPr>
            <w:tcW w:w="1728"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12,67</w:t>
            </w:r>
          </w:p>
        </w:tc>
      </w:tr>
      <w:tr>
        <w:trPr>
          <w:tblHeader w:val="0"/>
          <w:trKeepWithNext w:val="0"/>
          <w:trBreak w:val="0"/>
          <w:cantSplit w:val="0"/>
          <w:trHeight w:val="372" w:hRule="atLeast"/>
        </w:trPr>
        <w:tc>
          <w:tcPr>
            <w:tcW w:w="114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Т</w:t>
            </w:r>
          </w:p>
        </w:tc>
        <w:tc>
          <w:tcPr>
            <w:tcW w:w="1323"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1,95</w:t>
            </w:r>
          </w:p>
        </w:tc>
        <w:tc>
          <w:tcPr>
            <w:tcW w:w="1178"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1,05</w:t>
            </w:r>
          </w:p>
        </w:tc>
        <w:tc>
          <w:tcPr>
            <w:tcW w:w="1619"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0,88</w:t>
            </w:r>
          </w:p>
        </w:tc>
        <w:tc>
          <w:tcPr>
            <w:tcW w:w="1471"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2,08*</w:t>
            </w:r>
          </w:p>
        </w:tc>
        <w:tc>
          <w:tcPr>
            <w:tcW w:w="1178"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2,56*</w:t>
            </w:r>
          </w:p>
        </w:tc>
        <w:tc>
          <w:tcPr>
            <w:tcW w:w="1728"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pStyle w:val="para8"/>
              <w:spacing w:before="0" w:after="0" w:beforeAutospacing="0" w:afterAutospacing="0"/>
              <w:jc w:val="center"/>
              <w:rPr>
                <w:color w:val="000000"/>
                <w:lang w:eastAsia="en-us"/>
              </w:rPr>
            </w:pPr>
            <w:r>
              <w:rPr>
                <w:color w:val="000000"/>
                <w:lang w:eastAsia="en-us"/>
              </w:rPr>
              <w:t>1,74</w:t>
            </w:r>
          </w:p>
        </w:tc>
      </w:tr>
    </w:tbl>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i/>
          <w:color w:val="000000"/>
          <w:sz w:val="24"/>
          <w:szCs w:val="24"/>
        </w:rPr>
        <w:t>Примечание.</w:t>
      </w:r>
      <w:r>
        <w:rPr>
          <w:rFonts w:ascii="Times New Roman" w:hAnsi="Times New Roman"/>
          <w:color w:val="000000"/>
          <w:sz w:val="24"/>
          <w:szCs w:val="24"/>
        </w:rPr>
        <w:t xml:space="preserve"> Статистически значимые различия по t-критерию Стьюдента при р ≤ 0,05 отмечены*. Результаты представлений испытуемыми об осмысленности жизни, где: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М — среднее арифметическое;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S — стандартное отклонение;</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 xml:space="preserve">Т — значение Т-критерия Стьюдента. </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 xml:space="preserve">Согласно нашим данным, пациенты 1-й группы воспринимают себя как более сильную личность, имеющую значительную свободу выбора для построения собственной жизни согласно своим целям и задачам и представлениям о ее смысле, свободно принимать решения и реализовывать их в жизни. В то время как пациенты 2-й группы меньше верят в свои возможности контролировать события своей жизни, больше склонны к вере в случай. </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eastAsia="Times New Roman"/>
          <w:color w:val="000000"/>
          <w:spacing w:val="6" spc="55"/>
          <w:sz w:val="24"/>
          <w:szCs w:val="24"/>
          <w:lang w:eastAsia="ru-ru" w:bidi="ru-ru"/>
        </w:rPr>
      </w:pPr>
      <w:r>
        <w:rPr>
          <w:rFonts w:ascii="Times New Roman" w:hAnsi="Times New Roman" w:eastAsia="Times New Roman"/>
          <w:color w:val="000000"/>
          <w:spacing w:val="6" spc="55"/>
          <w:sz w:val="24"/>
          <w:szCs w:val="24"/>
          <w:lang w:eastAsia="ru-ru" w:bidi="ru-ru"/>
        </w:rPr>
        <w:t xml:space="preserve">При анализе данных исследования уровня субъективного контроля (опросник УСК) выявлен низкий уровень субъективного контроля у пациентов обеих групп в общей интернальности, интернальности в области производственных отношений, интернальности в области неудач и в отношении здоровья и болезни. </w:t>
      </w:r>
    </w:p>
    <w:p>
      <w:pPr>
        <w:ind w:firstLine="284"/>
        <w:spacing w:after="0" w:line="240" w:lineRule="auto"/>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color w:val="000000"/>
          <w:sz w:val="24"/>
          <w:szCs w:val="24"/>
        </w:rPr>
        <w:t xml:space="preserve">Полученные результаты УСК пациентов с РА обеих групп представлены на рисунке 2.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
        <w:rPr>
          <w:noProof/>
        </w:rPr>
        <w:drawing>
          <wp:inline distT="0" distB="0" distL="0" distR="0">
            <wp:extent cx="4363720" cy="1769745"/>
            <wp:effectExtent l="0" t="0" r="0" b="0"/>
            <wp:docPr id="5" name="Изображение3"/>
            <wp:cNvGraphicFramePr/>
            <a:graphic xmlns:a="http://schemas.openxmlformats.org/drawingml/2006/main">
              <a:graphicData uri="http://schemas.openxmlformats.org/drawingml/2006/picture">
                <pic:pic xmlns:pic="http://schemas.openxmlformats.org/drawingml/2006/picture">
                  <pic:nvPicPr>
                    <pic:cNvPr id="5" name="Изображение3"/>
                    <pic:cNvPicPr>
                      <a:codePr string="" type="1" text="0"/>
                      <a:extLst>
                        <a:ext uri="sm">
                          <sm:smNativeData xmlns:sm="sm" val="SMDATA_17_A3dgZ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RAAAAC4FAAAdAgAA3gEAAAAAAABkAAAAZAAAAAEAAAAjAAAABAAAAGQAAAAXAAAAFAAAANgaAADjCgAA2BoAAOMK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kAQAAB6AAAAAAAAAAAAAAAAAAAAIAAAAAAAAAAAAAAAIAAAAAAAAA2BoAAOMKAAAAAAAAAAAAAAAAAAAoAAAACAAAAAEAAAABAAAAMAAAABQAAAAAAAAAAAD//wAAAQAAAP//AAABAA=="/>
                        </a:ext>
                      </a:extLst>
                    </pic:cNvPicPr>
                  </pic:nvPicPr>
                  <pic:blipFill>
                    <a:blip r:embed="rId16"/>
                    <a:srcRect l="680" t="13260" r="5410" b="4780"/>
                    <a:stretch>
                      <a:fillRect/>
                    </a:stretch>
                  </pic:blipFill>
                  <pic:spPr>
                    <a:xfrm>
                      <a:off x="0" y="0"/>
                      <a:ext cx="4363720" cy="1769745"/>
                    </a:xfrm>
                    <a:prstGeom prst="rect">
                      <a:avLst/>
                    </a:prstGeom>
                    <a:noFill/>
                    <a:ln w="12700">
                      <a:noFill/>
                    </a:ln>
                  </pic:spPr>
                </pic:pic>
              </a:graphicData>
            </a:graphic>
          </wp:inline>
        </w:drawing>
      </w:r>
      <w:r/>
      <w:r>
        <w:rPr>
          <w:rFonts w:ascii="Times New Roman" w:hAnsi="Times New Roman"/>
          <w:color w:val="000000"/>
          <w:sz w:val="24"/>
          <w:szCs w:val="24"/>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i/>
          <w:color w:val="000000"/>
          <w:sz w:val="24"/>
          <w:szCs w:val="24"/>
        </w:rPr>
        <w:t>Рис. 2.</w:t>
      </w:r>
      <w:r>
        <w:rPr>
          <w:rFonts w:ascii="Times New Roman" w:hAnsi="Times New Roman"/>
          <w:b/>
          <w:color w:val="000000"/>
          <w:sz w:val="24"/>
          <w:szCs w:val="24"/>
        </w:rPr>
        <w:t xml:space="preserve"> </w:t>
      </w:r>
      <w:r>
        <w:rPr>
          <w:rFonts w:ascii="Times New Roman" w:hAnsi="Times New Roman"/>
          <w:color w:val="000000"/>
          <w:sz w:val="24"/>
          <w:szCs w:val="24"/>
        </w:rPr>
        <w:t xml:space="preserve">Результаты исследования уровня субъективного контроля: </w:t>
        <w:br w:type="textWrapping"/>
        <w:t xml:space="preserve">1 — общая интернальность; 2 — интернальность в области достижений; </w:t>
        <w:br w:type="textWrapping"/>
        <w:t xml:space="preserve">3 — интернальность в области неудач; 4 — интернальность в семейных отношениях; </w:t>
        <w:br w:type="textWrapping"/>
        <w:t>5 — интернальность в области производственных отношений; 6 — интернальность в области межличностных отношений; 7 — интернальность в отношении здоровья и болезни</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Показатели субъективного контроля над эмоционально положительными ситуациями и событиями, выполнением семейных обязанностей, построением отношений с окружающими были несколько выше нормальных значений также в обеих группах, при этом прослеживается тенденция к более высоким результатам у пациентов, получающих ГИБП. Пациенты обеих групп считают, что всего хорошего, что было и имеется в их жизни, они достигли, в основном, самостоятельно, без чьей-либо помощи. А вот контроль над своим здоровьем, ответственность за неприятные события и ситуации отдают врачам, другим людям, а также «неудачным» внешним обстоятельствам и невезению.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Представления о жизненной перспективе пациентов, а именно о самочувствии, планах на будущее, факторах, помогающих справляться с заболеванием и впечатлениях от получаемой терапии, исследовались с помощью специально разработанной анкеты. Вопросы, предлагаемые пациентам, касались их текущего состояния, впечатлений о получаемой терапии, представлений о себе, своем состоянии здоровья и жизненных планах в будущем, о факторах, помогающих справляться с заболеванием.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
        <w:rPr>
          <w:noProof/>
        </w:rPr>
        <w:drawing>
          <wp:inline distT="0" distB="0" distL="0" distR="0">
            <wp:extent cx="4174490" cy="1539240"/>
            <wp:effectExtent l="0" t="0" r="0" b="0"/>
            <wp:docPr id="6" name="Изображение4"/>
            <wp:cNvGraphicFramePr/>
            <a:graphic xmlns:a="http://schemas.openxmlformats.org/drawingml/2006/main">
              <a:graphicData uri="http://schemas.openxmlformats.org/drawingml/2006/picture">
                <pic:pic xmlns:pic="http://schemas.openxmlformats.org/drawingml/2006/picture">
                  <pic:nvPicPr>
                    <pic:cNvPr id="6" name="Изображение4"/>
                    <pic:cNvPicPr>
                      <a:codePr string="" type="0" text="0"/>
                      <a:extLst>
                        <a:ext uri="sm">
                          <sm:smNativeData xmlns:sm="sm" val="SMDATA_17_A3dgZ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LAEAAA4JAACGAAAAMQEAAAAAAABkAAAAZAAAAAEAAAAjAAAABAAAAGQAAAAXAAAAFAAAAK4ZAAB4CQAArhkAAHgJ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rAQAAB6AAAAAAAAAAAAAAAAAAAAIAAAAAAAAAAAAAAAIAAAAAAAAArhkAAHgJAAAAAAAAAAAAAAAAAAAoAAAACAAAAAEAAAABAAAAMAAAABQAAAAAAAAAAAD//wAAAQAAAP//AAABAA=="/>
                        </a:ext>
                      </a:extLst>
                    </pic:cNvPicPr>
                  </pic:nvPicPr>
                  <pic:blipFill>
                    <a:blip r:embed="rId17"/>
                    <a:srcRect l="3000" t="23180" r="1340" b="3050"/>
                    <a:stretch>
                      <a:fillRect/>
                    </a:stretch>
                  </pic:blipFill>
                  <pic:spPr>
                    <a:xfrm>
                      <a:off x="0" y="0"/>
                      <a:ext cx="4174490" cy="1539240"/>
                    </a:xfrm>
                    <a:prstGeom prst="rect">
                      <a:avLst/>
                    </a:prstGeom>
                    <a:noFill/>
                    <a:ln w="12700">
                      <a:noFill/>
                    </a:ln>
                  </pic:spPr>
                </pic:pic>
              </a:graphicData>
            </a:graphic>
          </wp:inline>
        </w:drawing>
      </w:r>
      <w:r/>
      <w:r>
        <w:rPr>
          <w:rFonts w:ascii="Times New Roman" w:hAnsi="Times New Roman"/>
          <w:color w:val="000000"/>
          <w:sz w:val="24"/>
          <w:szCs w:val="24"/>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i/>
          <w:color w:val="000000"/>
          <w:sz w:val="24"/>
          <w:szCs w:val="24"/>
        </w:rPr>
        <w:t>Рис. 3.</w:t>
      </w:r>
      <w:r>
        <w:rPr>
          <w:rFonts w:ascii="Times New Roman" w:hAnsi="Times New Roman"/>
          <w:b/>
          <w:color w:val="000000"/>
          <w:sz w:val="24"/>
          <w:szCs w:val="24"/>
        </w:rPr>
        <w:t xml:space="preserve"> </w:t>
      </w:r>
      <w:r>
        <w:rPr>
          <w:rFonts w:ascii="Times New Roman" w:hAnsi="Times New Roman"/>
          <w:color w:val="000000"/>
          <w:sz w:val="24"/>
          <w:szCs w:val="24"/>
        </w:rPr>
        <w:t xml:space="preserve">Результаты исследования самочувствия пациента в последнее время (1—4) </w:t>
        <w:br w:type="textWrapping"/>
        <w:t xml:space="preserve">и желание его в будущем (I—IV): 1 — хорошее; 2 — плохое; 3 — удовлетворительное; </w:t>
        <w:br w:type="textWrapping"/>
        <w:t xml:space="preserve">4 — сопутствующие другие заболевания; I — хорошее; II — отличное; </w:t>
        <w:br w:type="textWrapping"/>
        <w:t>III — чувствовать себя также; IV — чувствовать себя лучше</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На рисунке 3 видно, что хорошее самочувствие в настоящее время отмечает большая часть пациентов с РА, получающих ГИБП, в то время как половина пациентов 2-й группы в настоящее время чувствует себя плохо. Хорошее и удовлетворительное самочувствие почти поровну отмечают больные, получающие ГИБП, в то время как больные, получающие стандартное лечение, отмечают плохое и удовлетворительное самочувствие и выделяют еще и другие сопутствующие заболевания (гипертоническая болезнь).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На вопрос о планах на будущее и возможных их изменениях в связи с заболеванием, большая часть пациентов обеих групп ответила, что строит планы на будущее, причем у пациентов 1-й группы планы не изменились либо изменились немного.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При ответе на вопрос о факторах, помогающих пациентам справляться с заболеванием, выявилось определенное многообразие факторов, представленных на рисунке 4.</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
        <w:rPr>
          <w:noProof/>
        </w:rPr>
        <w:drawing>
          <wp:inline distT="89535" distB="89535" distL="89535" distR="89535">
            <wp:extent cx="4447540" cy="2132330"/>
            <wp:effectExtent l="0" t="0" r="0" b="0"/>
            <wp:docPr id="7" name="Изображение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17"/>
                    <pic:cNvPicPr>
                      <a:picLocks noChangeAspect="1"/>
                      <a:codePr string="" type="0" text="0"/>
                      <a:extLst>
                        <a:ext uri="sm">
                          <sm:smNativeData xmlns:sm="sm" val="SMDATA_17_A3dgZ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FwbAAAeDQAAXBsAAB4N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zAQAAB6IAAAAAAAAAAAAAAAAAAAAAAAA/FAAAAAAAAAAAAACpNAAAXBsAAB4NAAARAAAAPxQAAKk0AAAoAAAACAAAAAEAAAABAAAAMAAAABQAAAAAAAAAAAD//wAAAQAAAP//AAABAA=="/>
                        </a:ext>
                      </a:extLst>
                    </pic:cNvPicPr>
                  </pic:nvPicPr>
                  <pic:blipFill>
                    <a:blip r:embed="rId18"/>
                    <a:stretch>
                      <a:fillRect/>
                    </a:stretch>
                  </pic:blipFill>
                  <pic:spPr>
                    <a:xfrm>
                      <a:off x="0" y="0"/>
                      <a:ext cx="4447540" cy="2132330"/>
                    </a:xfrm>
                    <a:prstGeom prst="rect">
                      <a:avLst/>
                    </a:prstGeom>
                    <a:noFill/>
                    <a:ln w="12700">
                      <a:noFill/>
                    </a:ln>
                  </pic:spPr>
                </pic:pic>
              </a:graphicData>
            </a:graphic>
          </wp:inline>
        </w:drawing>
      </w:r>
      <w:r/>
      <w:r>
        <w:rPr>
          <w:rFonts w:ascii="Times New Roman" w:hAnsi="Times New Roman"/>
          <w:color w:val="000000"/>
          <w:sz w:val="24"/>
          <w:szCs w:val="24"/>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i/>
          <w:color w:val="000000"/>
          <w:sz w:val="24"/>
          <w:szCs w:val="24"/>
        </w:rPr>
        <w:t>Рис. 4.</w:t>
      </w:r>
      <w:r>
        <w:rPr>
          <w:rFonts w:ascii="Times New Roman" w:hAnsi="Times New Roman"/>
          <w:b/>
          <w:color w:val="000000"/>
          <w:sz w:val="24"/>
          <w:szCs w:val="24"/>
        </w:rPr>
        <w:t xml:space="preserve"> </w:t>
      </w:r>
      <w:r>
        <w:rPr>
          <w:rFonts w:ascii="Times New Roman" w:hAnsi="Times New Roman"/>
          <w:color w:val="000000"/>
          <w:sz w:val="24"/>
          <w:szCs w:val="24"/>
        </w:rPr>
        <w:t xml:space="preserve">Результаты исследования факторов, помогающих пациентам с РА справляться </w:t>
        <w:br w:type="textWrapping"/>
        <w:t xml:space="preserve">с заболеванием: 1 — лечение; 2 — оптимизм; 3 — здравый смысл; 4 — поддержка близких; 5 — физкультура; 6 — помощь родным; 7 — работа; 8 — отдых; 9 — черты характера; </w:t>
        <w:br w:type="textWrapping"/>
        <w:t>10 — надежда; 11 — другие ответы</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Из рисунке 4 видно, что пациентам 1-й группы справляться с заболеванием помогает в первую очередь их лечение, чуть в меньшей степени — оптимизм и поддержка близких, затем — здравый смысл и физкультура. Тогда как пациентам 2-й группы справляться с заболеванием в равной степени помогает оптимизм и поддержка близких, чуть в меньшей степени — лечение (почти в два раза меньше, чем в первой группе (30/16 %)), еще в меньшей степени — здравый смысл и физкультура.</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 разработанной анкете присутствовал вопрос об удовлетворенности больными получаемой по поводу РА терапии. Ответы на него представлены на рисунке 5. Следует отметить, что пациенты 1-й группы, получающие ГИБП, отмечают впечатления о терапии как отличные и хорошие (90 %), и совсем незначительная часть — удовлетворительные впечатления, хочет лучшего лечения и воздерживается от ответа. Пациенты же 2-й группы отмечают хорошее впечатление (22 %), хотят получать лечение лучше (29 %), либо затрудняются с ответом (20 %). Хотелось бы отметить, что ответы пациентов 2-й группы в основном односложны, осторожны в похвале: «неплохо», «пока хорошо», «нормально», либо вообще «плохо». Тогда как у пациентов, получающих ГИБП, ответы более развернутые, более эмоциональные, содержат слова благодарности врачам, с упоминанием их фамилий, используют восклицательные знаки: «Стала чувствовать полноценную жизнь!», «Я счастлива!», «Терапия дает не только облегчение физического состояния, но и поддерживает жизненный тонус!», «Очень помогает!» и т. п. </w:t>
      </w:r>
    </w:p>
    <w:p>
      <w:pPr>
        <w:pStyle w:val="para8"/>
        <w:ind w:firstLine="284"/>
        <w:spacing w:before="0" w:after="0" w:beforeAutospacing="0" w:afterAutospacing="0"/>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color w:val="000000"/>
        </w:rPr>
      </w:pPr>
      <w:r>
        <w:rPr>
          <w:color w:val="000000"/>
        </w:rPr>
      </w:r>
    </w:p>
    <w:p>
      <w:pPr>
        <w:pStyle w:val="para4"/>
        <w:ind w:left="0"/>
        <w:spacing w:after="0" w:line="240" w:lineRule="auto"/>
        <w:contextualSpacing w:val="0"/>
        <w:jc w:val="center"/>
        <w:rPr>
          <w:rFonts w:ascii="Times New Roman" w:hAnsi="Times New Roman"/>
          <w:color w:val="000000"/>
          <w:sz w:val="24"/>
          <w:szCs w:val="24"/>
          <w:lang w:val="ru-ru"/>
        </w:rPr>
      </w:pPr>
      <w:r/>
      <w:r>
        <w:rPr>
          <w:noProof/>
        </w:rPr>
        <w:drawing>
          <wp:inline distT="0" distB="0" distL="0" distR="0">
            <wp:extent cx="4180205" cy="1690370"/>
            <wp:effectExtent l="0" t="0" r="0" b="0"/>
            <wp:docPr id="8" name="Изображение6"/>
            <wp:cNvGraphicFramePr/>
            <a:graphic xmlns:a="http://schemas.openxmlformats.org/drawingml/2006/main">
              <a:graphicData uri="http://schemas.openxmlformats.org/drawingml/2006/picture">
                <pic:pic xmlns:pic="http://schemas.openxmlformats.org/drawingml/2006/picture">
                  <pic:nvPicPr>
                    <pic:cNvPr id="8" name="Изображение6"/>
                    <pic:cNvPicPr>
                      <a:extLst>
                        <a:ext uri="sm">
                          <sm:smNativeData xmlns:sm="sm" val="SMDATA_17_A3dgZ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nAAAAHMGAABgAQAA9AAAAAAAAABkAAAAZAAAAAEAAAAjAAAABAAAAGQAAAAXAAAAFAAAALcZAABmCgAAtxkAAGYK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6AQAAB6AAAAAAAAAAAAAAAAAAAAIAAAAAAAAAAAAAAAIAAAAAAAAAtxkAAGYKAAAAAAAAAAAAAAAAAAAoAAAACAAAAAEAAAABAAAAMAAAABQAAAAAAAAAAAD//wAAAQAAAP//AAABAA=="/>
                        </a:ext>
                      </a:extLst>
                    </pic:cNvPicPr>
                  </pic:nvPicPr>
                  <pic:blipFill>
                    <a:blip r:embed="rId19"/>
                    <a:srcRect l="1560" t="16510" r="3520" b="2440"/>
                    <a:stretch>
                      <a:fillRect/>
                    </a:stretch>
                  </pic:blipFill>
                  <pic:spPr>
                    <a:xfrm>
                      <a:off x="0" y="0"/>
                      <a:ext cx="4180205" cy="1690370"/>
                    </a:xfrm>
                    <a:prstGeom prst="rect">
                      <a:avLst/>
                    </a:prstGeom>
                    <a:noFill/>
                    <a:ln w="12700">
                      <a:noFill/>
                    </a:ln>
                  </pic:spPr>
                </pic:pic>
              </a:graphicData>
            </a:graphic>
          </wp:inline>
        </w:drawing>
      </w:r>
      <w:r/>
      <w:r>
        <w:rPr>
          <w:rFonts w:ascii="Times New Roman" w:hAnsi="Times New Roman"/>
          <w:color w:val="000000"/>
          <w:sz w:val="24"/>
          <w:szCs w:val="24"/>
          <w:lang w:val="ru-ru"/>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rPr>
          <w:rFonts w:ascii="Times New Roman" w:hAnsi="Times New Roman"/>
          <w:i/>
          <w:color w:val="000000"/>
          <w:sz w:val="24"/>
          <w:szCs w:val="24"/>
        </w:rPr>
        <w:t>Рис. 5.</w:t>
      </w:r>
      <w:r>
        <w:rPr>
          <w:rFonts w:ascii="Times New Roman" w:hAnsi="Times New Roman"/>
          <w:b/>
          <w:color w:val="000000"/>
          <w:sz w:val="24"/>
          <w:szCs w:val="24"/>
        </w:rPr>
        <w:t xml:space="preserve"> </w:t>
      </w:r>
      <w:r>
        <w:rPr>
          <w:rFonts w:ascii="Times New Roman" w:hAnsi="Times New Roman"/>
          <w:color w:val="000000"/>
          <w:sz w:val="24"/>
          <w:szCs w:val="24"/>
        </w:rPr>
        <w:t xml:space="preserve">Результаты исследования впечатлений пациентов с РА о получаемой терапии: </w:t>
        <w:br w:type="textWrapping"/>
        <w:t>1 — хорошие; 2 — удовлетворительные; 3 — хочется лучше; 4 — не знаю; 5 — отличные; 6 — стало лучше; 7 — нет никаких впечатлений</w:t>
      </w:r>
    </w:p>
    <w:p>
      <w:pPr>
        <w:ind w:firstLine="284"/>
        <w:spacing w:after="0" w:line="240" w:lineRule="auto"/>
        <w:jc w:val="both"/>
        <w:tabs defTabSz="708">
          <w:tab w:val="left" w:pos="2004" w:leader="none"/>
        </w:tabs>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Основные выводы</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tabs defTabSz="708">
          <w:tab w:val="left" w:pos="720" w:leader="none"/>
          <w:tab w:val="left" w:pos="900" w:leader="none"/>
          <w:tab w:val="left" w:pos="1080" w:leader="none"/>
          <w:tab w:val="left" w:pos="1260" w:leader="none"/>
        </w:tabs>
        <w:rPr>
          <w:rFonts w:ascii="Times New Roman" w:hAnsi="Times New Roman"/>
          <w:color w:val="000000"/>
          <w:sz w:val="24"/>
          <w:szCs w:val="24"/>
        </w:rPr>
      </w:pPr>
      <w:r>
        <w:rPr>
          <w:rFonts w:ascii="Times New Roman" w:hAnsi="Times New Roman"/>
          <w:color w:val="000000"/>
          <w:sz w:val="24"/>
          <w:szCs w:val="24"/>
        </w:rPr>
        <w:t>1. Больные РА, получающие ГИБП, оценивают свое общее состояние здоровья и физическую активность более высоко, в то время как физическая боль ограничивает активность пациентов, получающих стандартные БПВП.</w:t>
      </w:r>
    </w:p>
    <w:p>
      <w:pPr>
        <w:ind w:firstLine="284"/>
        <w:spacing w:after="0" w:line="240" w:lineRule="auto"/>
        <w:jc w:val="both"/>
        <w:tabs defTabSz="708">
          <w:tab w:val="left" w:pos="720" w:leader="none"/>
          <w:tab w:val="left" w:pos="900" w:leader="none"/>
          <w:tab w:val="left" w:pos="1080" w:leader="none"/>
          <w:tab w:val="left" w:pos="1260" w:leader="none"/>
        </w:tabs>
        <w:rPr>
          <w:rFonts w:ascii="Times New Roman" w:hAnsi="Times New Roman"/>
          <w:color w:val="000000"/>
          <w:sz w:val="24"/>
          <w:szCs w:val="24"/>
        </w:rPr>
      </w:pPr>
      <w:r>
        <w:rPr>
          <w:rFonts w:ascii="Times New Roman" w:hAnsi="Times New Roman"/>
          <w:color w:val="000000"/>
          <w:sz w:val="24"/>
          <w:szCs w:val="24"/>
        </w:rPr>
        <w:t>2. Пациенты, получающие ГИБП, ощущают себя более энергичными и полными сил, тогда как пациенты, получающие стандартные БПВП, отмечают снижение жизненной активности, большее утомление и бессилие, что мешает им выполнять разную ежедневную работу, включая снижение ее объема и качества, а также затрату большего количества времени.</w:t>
      </w:r>
    </w:p>
    <w:p>
      <w:pPr>
        <w:ind w:firstLine="284"/>
        <w:spacing w:after="0" w:line="240" w:lineRule="auto"/>
        <w:jc w:val="both"/>
        <w:tabs defTabSz="708">
          <w:tab w:val="left" w:pos="720" w:leader="none"/>
          <w:tab w:val="left" w:pos="900" w:leader="none"/>
          <w:tab w:val="left" w:pos="1080" w:leader="none"/>
          <w:tab w:val="left" w:pos="1260" w:leader="none"/>
        </w:tabs>
        <w:rPr>
          <w:rFonts w:ascii="Times New Roman" w:hAnsi="Times New Roman"/>
          <w:color w:val="000000"/>
          <w:sz w:val="24"/>
          <w:szCs w:val="24"/>
        </w:rPr>
      </w:pPr>
      <w:r>
        <w:rPr>
          <w:rFonts w:ascii="Times New Roman" w:hAnsi="Times New Roman"/>
          <w:color w:val="000000"/>
          <w:sz w:val="24"/>
          <w:szCs w:val="24"/>
        </w:rPr>
        <w:t>3. Пациенты, получающие ГИБП, ставят цели в жизни на будущее, не видят проблем в их реализации из-за заболевания, что придает, в свою очередь, временную перспективу и направленность жизни, а также оценивают прожитую часть жизни как более продуктивную и осмысленную.</w:t>
      </w:r>
    </w:p>
    <w:p>
      <w:pPr>
        <w:ind w:firstLine="284"/>
        <w:spacing w:after="0" w:line="240" w:lineRule="auto"/>
        <w:jc w:val="both"/>
        <w:tabs defTabSz="708">
          <w:tab w:val="left" w:pos="720" w:leader="none"/>
          <w:tab w:val="left" w:pos="900" w:leader="none"/>
          <w:tab w:val="left" w:pos="1080" w:leader="none"/>
          <w:tab w:val="left" w:pos="1260" w:leader="none"/>
        </w:tabs>
        <w:rPr>
          <w:rFonts w:ascii="Times New Roman" w:hAnsi="Times New Roman"/>
          <w:color w:val="000000"/>
          <w:sz w:val="24"/>
          <w:szCs w:val="24"/>
        </w:rPr>
      </w:pPr>
      <w:r>
        <w:rPr>
          <w:rFonts w:ascii="Times New Roman" w:hAnsi="Times New Roman"/>
          <w:color w:val="000000"/>
          <w:sz w:val="24"/>
          <w:szCs w:val="24"/>
        </w:rPr>
        <w:t>4. Представления пациентов, получающих ГИБП, об управляемости своей жизнью, контроле событий, происходящих в их семейной жизни, выше по сравнению с пациентами, получающими стандартные БПВП. По всей вероятности, эффективность лечения повышает веру в возможность контроля собственной жизни, свободное принятие решений и реализацию их в жизни.</w:t>
      </w:r>
    </w:p>
    <w:p>
      <w:pPr>
        <w:ind w:firstLine="284"/>
        <w:spacing w:after="0" w:line="240" w:lineRule="auto"/>
        <w:jc w:val="both"/>
        <w:tabs defTabSz="708">
          <w:tab w:val="left" w:pos="720" w:leader="none"/>
          <w:tab w:val="left" w:pos="900" w:leader="none"/>
          <w:tab w:val="left" w:pos="1080" w:leader="none"/>
          <w:tab w:val="left" w:pos="1260" w:leader="none"/>
        </w:tabs>
        <w:rPr>
          <w:rFonts w:ascii="Times New Roman" w:hAnsi="Times New Roman"/>
          <w:color w:val="000000"/>
          <w:sz w:val="24"/>
          <w:szCs w:val="24"/>
        </w:rPr>
      </w:pPr>
      <w:r>
        <w:rPr>
          <w:rFonts w:ascii="Times New Roman" w:hAnsi="Times New Roman"/>
          <w:color w:val="000000"/>
          <w:sz w:val="24"/>
          <w:szCs w:val="24"/>
        </w:rPr>
        <w:t>5. Пациенты, получающие ГИБП, главным фактором, помогающим справляться с заболеванием, считают лечение, а затем — психологические и социальные факторы, тогда как больные, получающие стандартные БПВП, ставят лечение на второе место.</w:t>
      </w:r>
    </w:p>
    <w:p>
      <w:pPr>
        <w:ind w:firstLine="284"/>
        <w:spacing w:after="0" w:line="240" w:lineRule="auto"/>
        <w:jc w:val="both"/>
        <w:tabs defTabSz="708">
          <w:tab w:val="left" w:pos="720" w:leader="none"/>
          <w:tab w:val="left" w:pos="900" w:leader="none"/>
          <w:tab w:val="left" w:pos="1080" w:leader="none"/>
          <w:tab w:val="left" w:pos="1260" w:leader="none"/>
        </w:tabs>
        <w:rPr>
          <w:rFonts w:ascii="Times New Roman" w:hAnsi="Times New Roman"/>
          <w:color w:val="000000"/>
          <w:sz w:val="24"/>
          <w:szCs w:val="24"/>
        </w:rPr>
      </w:pPr>
      <w:r>
        <w:rPr>
          <w:rFonts w:ascii="Times New Roman" w:hAnsi="Times New Roman"/>
          <w:color w:val="000000"/>
          <w:sz w:val="24"/>
          <w:szCs w:val="24"/>
        </w:rPr>
        <w:t>6. Пациенты, получающие ГИБП, отмечают впечатления о терапии как отличные и хорошие — 90 %, в описании используют превосходные степени. Пациентам, получающим стандартные БПВП, хочется получать лечение лучше — 29 %, но 22 % больных отмечает и хорошее впечатление от терапии.</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Список литературы</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1. </w:t>
      </w:r>
      <w:r>
        <w:rPr>
          <w:rFonts w:ascii="Times New Roman" w:hAnsi="Times New Roman"/>
          <w:i/>
          <w:color w:val="000000"/>
          <w:sz w:val="24"/>
          <w:szCs w:val="24"/>
        </w:rPr>
        <w:t>Зейгарник Б. Ф</w:t>
      </w:r>
      <w:r>
        <w:rPr>
          <w:rFonts w:ascii="Times New Roman" w:hAnsi="Times New Roman"/>
          <w:color w:val="000000"/>
          <w:sz w:val="24"/>
          <w:szCs w:val="24"/>
        </w:rPr>
        <w:t xml:space="preserve">. Теория поля Курта Левина / Б. Ф. Зейгарник. — Москва, 1981.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2. </w:t>
      </w:r>
      <w:r>
        <w:rPr>
          <w:rFonts w:ascii="Times New Roman" w:hAnsi="Times New Roman"/>
          <w:i/>
          <w:color w:val="000000"/>
          <w:sz w:val="24"/>
          <w:szCs w:val="24"/>
        </w:rPr>
        <w:t>Левин К</w:t>
      </w:r>
      <w:r>
        <w:rPr>
          <w:rFonts w:ascii="Times New Roman" w:hAnsi="Times New Roman"/>
          <w:color w:val="000000"/>
          <w:sz w:val="24"/>
          <w:szCs w:val="24"/>
        </w:rPr>
        <w:t>. Определение понятия «поле в данный момент» / К. Левин // Хрестоматия по истории психологии : Период открытого кризиса. — Москва, 1980.</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3. </w:t>
      </w:r>
      <w:r>
        <w:rPr>
          <w:rFonts w:ascii="Times New Roman" w:hAnsi="Times New Roman"/>
          <w:i/>
          <w:color w:val="000000"/>
          <w:sz w:val="24"/>
          <w:szCs w:val="24"/>
        </w:rPr>
        <w:t>Мандрикова Е. Ю</w:t>
      </w:r>
      <w:r>
        <w:rPr>
          <w:rFonts w:ascii="Times New Roman" w:hAnsi="Times New Roman"/>
          <w:color w:val="000000"/>
          <w:sz w:val="24"/>
          <w:szCs w:val="24"/>
        </w:rPr>
        <w:t>. Современные подходы к изучению временной перспективы личности / Е. Ю. Мандрикова // Психологический журнал. — 2008. — Т. 29, № 34. — С. 54—65.</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4. </w:t>
      </w:r>
      <w:r>
        <w:rPr>
          <w:rFonts w:ascii="Times New Roman" w:hAnsi="Times New Roman"/>
          <w:i/>
          <w:color w:val="000000"/>
          <w:sz w:val="24"/>
          <w:szCs w:val="24"/>
        </w:rPr>
        <w:t>Насонов Е. Л</w:t>
      </w:r>
      <w:r>
        <w:rPr>
          <w:rFonts w:ascii="Times New Roman" w:hAnsi="Times New Roman"/>
          <w:color w:val="000000"/>
          <w:sz w:val="24"/>
          <w:szCs w:val="24"/>
        </w:rPr>
        <w:t xml:space="preserve">. Лечение ревматоидного артрита / Е. Л. Насонов // Клин. фармакол. тер. — 2017. — № 26 (1). — С. 4—10.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5. </w:t>
      </w:r>
      <w:r>
        <w:rPr>
          <w:rFonts w:ascii="Times New Roman" w:hAnsi="Times New Roman"/>
          <w:i/>
          <w:color w:val="000000"/>
          <w:sz w:val="24"/>
          <w:szCs w:val="24"/>
        </w:rPr>
        <w:t>Насонов Е. Л</w:t>
      </w:r>
      <w:r>
        <w:rPr>
          <w:rFonts w:ascii="Times New Roman" w:hAnsi="Times New Roman"/>
          <w:color w:val="000000"/>
          <w:sz w:val="24"/>
          <w:szCs w:val="24"/>
        </w:rPr>
        <w:t xml:space="preserve">. Фармакотерапия ревматоидного артрита: российские и международные рекомендации / Е. Л. Насонов // Научно-практическая ревматология. — 2016. — № 54 (5). — С. 557—571. </w:t>
      </w:r>
    </w:p>
    <w:p>
      <w:pPr>
        <w:ind w:firstLine="284"/>
        <w:spacing w:after="0" w:line="240" w:lineRule="auto"/>
        <w:jc w:val="both"/>
        <w:rPr>
          <w:rFonts w:ascii="Times New Roman" w:hAnsi="Times New Roman"/>
          <w:color w:val="000000"/>
          <w:sz w:val="24"/>
          <w:szCs w:val="24"/>
        </w:rPr>
      </w:pPr>
      <w:r>
        <w:rPr>
          <w:rStyle w:val="char3"/>
          <w:rFonts w:ascii="Times New Roman" w:hAnsi="Times New Roman"/>
          <w:i w:val="0"/>
          <w:color w:val="000000"/>
          <w:sz w:val="24"/>
          <w:szCs w:val="24"/>
        </w:rPr>
        <w:t>6. </w:t>
      </w:r>
      <w:r>
        <w:rPr>
          <w:rStyle w:val="char3"/>
          <w:rFonts w:ascii="Times New Roman" w:hAnsi="Times New Roman"/>
          <w:i w:val="0"/>
          <w:color w:val="000000"/>
          <w:sz w:val="24"/>
          <w:szCs w:val="24"/>
        </w:rPr>
        <w:t xml:space="preserve">Российские клинические рекомендации. Ревматология / </w:t>
      </w:r>
      <w:r>
        <w:rPr>
          <w:rStyle w:val="char3"/>
          <w:rFonts w:ascii="Times New Roman" w:hAnsi="Times New Roman"/>
          <w:i w:val="0"/>
          <w:color w:val="000000"/>
          <w:sz w:val="24"/>
          <w:szCs w:val="24"/>
        </w:rPr>
        <w:t xml:space="preserve">под </w:t>
      </w:r>
      <w:r>
        <w:rPr>
          <w:rStyle w:val="char3"/>
          <w:rFonts w:ascii="Times New Roman" w:hAnsi="Times New Roman"/>
          <w:i w:val="0"/>
          <w:color w:val="000000"/>
          <w:sz w:val="24"/>
          <w:szCs w:val="24"/>
        </w:rPr>
        <w:t xml:space="preserve">ред. </w:t>
      </w:r>
      <w:r>
        <w:rPr>
          <w:rStyle w:val="char3"/>
          <w:rFonts w:ascii="Times New Roman" w:hAnsi="Times New Roman"/>
          <w:i w:val="0"/>
          <w:color w:val="000000"/>
          <w:sz w:val="24"/>
          <w:szCs w:val="24"/>
        </w:rPr>
        <w:t>Е. Л. Насонов</w:t>
      </w:r>
      <w:r>
        <w:rPr>
          <w:rStyle w:val="char3"/>
          <w:rFonts w:ascii="Times New Roman" w:hAnsi="Times New Roman"/>
          <w:i w:val="0"/>
          <w:color w:val="000000"/>
          <w:sz w:val="24"/>
          <w:szCs w:val="24"/>
        </w:rPr>
        <w:t>а</w:t>
      </w:r>
      <w:r>
        <w:rPr>
          <w:rStyle w:val="char3"/>
          <w:rFonts w:ascii="Times New Roman" w:hAnsi="Times New Roman"/>
          <w:i w:val="0"/>
          <w:color w:val="000000"/>
          <w:sz w:val="24"/>
          <w:szCs w:val="24"/>
        </w:rPr>
        <w:t>.</w:t>
      </w:r>
      <w:r>
        <w:rPr>
          <w:rStyle w:val="char3"/>
          <w:rFonts w:ascii="Times New Roman" w:hAnsi="Times New Roman"/>
          <w:i w:val="0"/>
          <w:color w:val="000000"/>
          <w:sz w:val="24"/>
          <w:szCs w:val="24"/>
        </w:rPr>
        <w:t xml:space="preserve"> — </w:t>
      </w:r>
      <w:r>
        <w:rPr>
          <w:rStyle w:val="char3"/>
          <w:rFonts w:ascii="Times New Roman" w:hAnsi="Times New Roman"/>
          <w:i w:val="0"/>
          <w:color w:val="000000"/>
          <w:sz w:val="24"/>
          <w:szCs w:val="24"/>
        </w:rPr>
        <w:t>Москва</w:t>
      </w:r>
      <w:r>
        <w:rPr>
          <w:rStyle w:val="char3"/>
          <w:rFonts w:ascii="Times New Roman" w:hAnsi="Times New Roman"/>
          <w:i w:val="0"/>
          <w:color w:val="000000"/>
          <w:sz w:val="24"/>
          <w:szCs w:val="24"/>
        </w:rPr>
        <w:t> :</w:t>
      </w:r>
      <w:r>
        <w:rPr>
          <w:rStyle w:val="char3"/>
          <w:rFonts w:ascii="Times New Roman" w:hAnsi="Times New Roman"/>
          <w:i w:val="0"/>
          <w:color w:val="000000"/>
          <w:sz w:val="24"/>
          <w:szCs w:val="24"/>
        </w:rPr>
        <w:t xml:space="preserve"> ГЭОТАР-Медиа,</w:t>
      </w:r>
      <w:r>
        <w:rPr>
          <w:rStyle w:val="char3"/>
          <w:rFonts w:ascii="Times New Roman" w:hAnsi="Times New Roman"/>
          <w:i w:val="0"/>
          <w:color w:val="000000"/>
          <w:sz w:val="24"/>
          <w:szCs w:val="24"/>
        </w:rPr>
        <w:t xml:space="preserve"> </w:t>
      </w:r>
      <w:r>
        <w:rPr>
          <w:rStyle w:val="char3"/>
          <w:rFonts w:ascii="Times New Roman" w:hAnsi="Times New Roman"/>
          <w:i w:val="0"/>
          <w:color w:val="000000"/>
          <w:sz w:val="24"/>
          <w:szCs w:val="24"/>
        </w:rPr>
        <w:t>2017.</w:t>
      </w:r>
      <w:r>
        <w:rPr>
          <w:rStyle w:val="char3"/>
          <w:rFonts w:ascii="Times New Roman" w:hAnsi="Times New Roman"/>
          <w:i w:val="0"/>
          <w:color w:val="000000"/>
          <w:sz w:val="24"/>
          <w:szCs w:val="24"/>
        </w:rPr>
        <w:t xml:space="preserve"> — </w:t>
      </w:r>
      <w:r>
        <w:rPr>
          <w:rStyle w:val="char3"/>
          <w:rFonts w:ascii="Times New Roman" w:hAnsi="Times New Roman"/>
          <w:i w:val="0"/>
          <w:color w:val="000000"/>
          <w:sz w:val="24"/>
          <w:szCs w:val="24"/>
        </w:rPr>
        <w:t>С. 34—</w:t>
      </w:r>
      <w:r>
        <w:rPr>
          <w:rStyle w:val="char3"/>
          <w:rFonts w:ascii="Times New Roman" w:hAnsi="Times New Roman"/>
          <w:i w:val="0"/>
          <w:color w:val="000000"/>
          <w:sz w:val="24"/>
          <w:szCs w:val="24"/>
        </w:rPr>
        <w:t>51.</w:t>
      </w:r>
      <w:r>
        <w:rPr>
          <w:rFonts w:ascii="Times New Roman" w:hAnsi="Times New Roman"/>
          <w:color w:val="000000"/>
          <w:sz w:val="24"/>
          <w:szCs w:val="24"/>
        </w:rPr>
      </w:r>
    </w:p>
    <w:p>
      <w:pPr>
        <w:pStyle w:val="para8"/>
        <w:ind w:firstLine="284"/>
        <w:spacing w:before="0" w:after="0" w:beforeAutospacing="0" w:afterAutospacing="0"/>
        <w:jc w:val="both"/>
        <w:rPr>
          <w:color w:val="000000"/>
          <w:lang w:val="en-us"/>
        </w:rPr>
      </w:pPr>
      <w:r>
        <w:rPr>
          <w:color w:val="000000"/>
        </w:rPr>
        <w:t>7. </w:t>
      </w:r>
      <w:r>
        <w:rPr>
          <w:i/>
          <w:color w:val="000000"/>
        </w:rPr>
        <w:t>Рудь Г. В</w:t>
      </w:r>
      <w:r>
        <w:rPr>
          <w:color w:val="000000"/>
        </w:rPr>
        <w:t xml:space="preserve">. Жизненная перспектива личности как основа жизненного пути / Г. В. Рудь, К. В. Джеджера // Личность, семья и общество: вопросы педагогики и психологии : сб. ст. по матер. </w:t>
      </w:r>
      <w:r>
        <w:rPr>
          <w:color w:val="000000"/>
          <w:lang w:val="en-us"/>
        </w:rPr>
        <w:t xml:space="preserve">XXV </w:t>
      </w:r>
      <w:r>
        <w:rPr>
          <w:color w:val="000000"/>
        </w:rPr>
        <w:t>Междунар</w:t>
      </w:r>
      <w:r>
        <w:rPr>
          <w:color w:val="000000"/>
          <w:lang w:val="en-us"/>
        </w:rPr>
        <w:t xml:space="preserve">. </w:t>
      </w:r>
      <w:r>
        <w:rPr>
          <w:color w:val="000000"/>
        </w:rPr>
        <w:t>науч</w:t>
      </w:r>
      <w:r>
        <w:rPr>
          <w:color w:val="000000"/>
          <w:lang w:val="en-us"/>
        </w:rPr>
        <w:t>.-</w:t>
      </w:r>
      <w:r>
        <w:rPr>
          <w:color w:val="000000"/>
        </w:rPr>
        <w:t>практ</w:t>
      </w:r>
      <w:r>
        <w:rPr>
          <w:color w:val="000000"/>
          <w:lang w:val="en-us"/>
        </w:rPr>
        <w:t xml:space="preserve">. </w:t>
      </w:r>
      <w:r>
        <w:rPr>
          <w:color w:val="000000"/>
        </w:rPr>
        <w:t>конф</w:t>
      </w:r>
      <w:r>
        <w:rPr>
          <w:color w:val="000000"/>
          <w:lang w:val="en-us"/>
        </w:rPr>
        <w:t>.</w:t>
      </w:r>
      <w:r>
        <w:rPr>
          <w:color w:val="000000"/>
          <w:lang w:val="en-us"/>
        </w:rPr>
        <w:t xml:space="preserve"> — </w:t>
      </w:r>
      <w:r>
        <w:rPr>
          <w:color w:val="000000"/>
        </w:rPr>
        <w:t>Новосибирск</w:t>
      </w:r>
      <w:r>
        <w:rPr>
          <w:color w:val="000000"/>
          <w:lang w:val="en-us"/>
        </w:rPr>
        <w:t> </w:t>
      </w:r>
      <w:r>
        <w:rPr>
          <w:color w:val="000000"/>
          <w:lang w:val="en-us"/>
        </w:rPr>
        <w:t>:</w:t>
      </w:r>
      <w:r>
        <w:rPr>
          <w:color w:val="000000"/>
          <w:lang w:val="en-us"/>
        </w:rPr>
        <w:t xml:space="preserve"> </w:t>
      </w:r>
      <w:r>
        <w:rPr>
          <w:color w:val="000000"/>
        </w:rPr>
        <w:t>СибАК</w:t>
      </w:r>
      <w:r>
        <w:rPr>
          <w:color w:val="000000"/>
          <w:lang w:val="en-us"/>
        </w:rPr>
        <w:t xml:space="preserve">, 2013. </w:t>
      </w:r>
      <w:r>
        <w:rPr>
          <w:color w:val="000000"/>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8. Treating rheumatoid arthritis to target: recommendations of an international task force / J. S. Smolen, D. Aletaha, J. W. Bijlsma [et al.] // Ann Rheum Dis. — 2010. — Vol. 69. — P. 631—637.</w:t>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9. </w:t>
      </w:r>
      <w:r>
        <w:rPr>
          <w:rFonts w:ascii="Times New Roman" w:hAnsi="Times New Roman"/>
          <w:i/>
          <w:color w:val="000000"/>
          <w:sz w:val="24"/>
          <w:szCs w:val="24"/>
          <w:lang w:val="en-us"/>
        </w:rPr>
        <w:t>Smolen J. S</w:t>
      </w:r>
      <w:r>
        <w:rPr>
          <w:rFonts w:ascii="Times New Roman" w:hAnsi="Times New Roman"/>
          <w:color w:val="000000"/>
          <w:sz w:val="24"/>
          <w:szCs w:val="24"/>
          <w:lang w:val="en-us"/>
        </w:rPr>
        <w:t>. Rheumatoid arthritis / J. S. Smolen, D. Aletaha, I. B. McInnes // Lancet. — 2016. — Vol. 388. — P. 2023—2038.</w:t>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10. EULAR recommendations for the management of rheumatoid arthritis with systemic and biological disease-modifying antirheumatic drugs: 2019 update / J. S. Smolen, R. B. M</w:t>
      </w:r>
      <w:r>
        <w:rPr>
          <w:rStyle w:val="char16"/>
          <w:rFonts w:ascii="Times New Roman" w:hAnsi="Times New Roman"/>
          <w:color w:val="000000"/>
          <w:sz w:val="24"/>
          <w:szCs w:val="24"/>
          <w:lang w:val="en-us"/>
        </w:rPr>
        <w:t>. </w:t>
      </w:r>
      <w:r>
        <w:rPr>
          <w:rStyle w:val="char16"/>
          <w:rFonts w:ascii="Times New Roman" w:hAnsi="Times New Roman"/>
          <w:color w:val="000000"/>
          <w:sz w:val="24"/>
          <w:szCs w:val="24"/>
          <w:lang w:val="en-us"/>
        </w:rPr>
        <w:t>Landewé</w:t>
      </w:r>
      <w:r>
        <w:rPr>
          <w:rFonts w:ascii="Times New Roman" w:hAnsi="Times New Roman"/>
          <w:color w:val="000000"/>
          <w:sz w:val="24"/>
          <w:szCs w:val="24"/>
          <w:lang w:val="en-us"/>
        </w:rPr>
        <w:t>, J. W. </w:t>
      </w:r>
      <w:r>
        <w:rPr>
          <w:rFonts w:ascii="Times New Roman" w:hAnsi="Times New Roman"/>
          <w:color w:val="000000"/>
          <w:sz w:val="24"/>
          <w:szCs w:val="24"/>
          <w:lang w:val="en-us"/>
        </w:rPr>
        <w:t>Bijlsma</w:t>
      </w:r>
      <w:r>
        <w:rPr>
          <w:rFonts w:ascii="Times New Roman" w:hAnsi="Times New Roman"/>
          <w:color w:val="000000"/>
          <w:sz w:val="24"/>
          <w:szCs w:val="24"/>
          <w:lang w:val="en-us"/>
        </w:rPr>
        <w:t xml:space="preserve"> [et al.] //</w:t>
      </w:r>
      <w:r>
        <w:rPr>
          <w:rFonts w:ascii="Times New Roman" w:hAnsi="Times New Roman"/>
          <w:color w:val="000000"/>
          <w:sz w:val="24"/>
          <w:szCs w:val="24"/>
          <w:lang w:val="en-us"/>
        </w:rPr>
        <w:t xml:space="preserve"> Ann Rheum Dis</w:t>
      </w:r>
      <w:r>
        <w:rPr>
          <w:rFonts w:ascii="Times New Roman" w:hAnsi="Times New Roman"/>
          <w:color w:val="000000"/>
          <w:sz w:val="24"/>
          <w:szCs w:val="24"/>
          <w:lang w:val="en-us"/>
        </w:rPr>
        <w:t>.</w:t>
      </w:r>
      <w:r>
        <w:rPr>
          <w:rFonts w:ascii="Times New Roman" w:hAnsi="Times New Roman"/>
          <w:color w:val="000000"/>
          <w:sz w:val="24"/>
          <w:szCs w:val="24"/>
          <w:lang w:val="en-us"/>
        </w:rPr>
        <w:t xml:space="preserve"> — </w:t>
      </w:r>
      <w:r>
        <w:rPr>
          <w:rFonts w:ascii="Times New Roman" w:hAnsi="Times New Roman"/>
          <w:color w:val="000000"/>
          <w:sz w:val="24"/>
          <w:szCs w:val="24"/>
          <w:lang w:val="en-us"/>
        </w:rPr>
        <w:t>2020</w:t>
      </w:r>
      <w:r>
        <w:rPr>
          <w:rFonts w:ascii="Times New Roman" w:hAnsi="Times New Roman"/>
          <w:color w:val="000000"/>
          <w:sz w:val="24"/>
          <w:szCs w:val="24"/>
          <w:lang w:val="en-us"/>
        </w:rPr>
        <w:t>.</w:t>
      </w:r>
      <w:r>
        <w:rPr>
          <w:rFonts w:ascii="Times New Roman" w:hAnsi="Times New Roman"/>
          <w:color w:val="000000"/>
          <w:sz w:val="24"/>
          <w:szCs w:val="24"/>
          <w:lang w:val="en-us"/>
        </w:rPr>
        <w:t xml:space="preserve"> — </w:t>
      </w:r>
      <w:r>
        <w:rPr>
          <w:rFonts w:ascii="Times New Roman" w:hAnsi="Times New Roman"/>
          <w:color w:val="000000"/>
          <w:sz w:val="24"/>
          <w:szCs w:val="24"/>
          <w:lang w:val="en-us"/>
        </w:rPr>
        <w:t>P. </w:t>
      </w:r>
      <w:r>
        <w:rPr>
          <w:rFonts w:ascii="Times New Roman" w:hAnsi="Times New Roman"/>
          <w:color w:val="000000"/>
          <w:sz w:val="24"/>
          <w:szCs w:val="24"/>
          <w:lang w:val="en-us"/>
        </w:rPr>
        <w:t>1</w:t>
      </w:r>
      <w:r>
        <w:rPr>
          <w:rFonts w:ascii="Times New Roman" w:hAnsi="Times New Roman"/>
          <w:color w:val="000000"/>
          <w:sz w:val="24"/>
          <w:szCs w:val="24"/>
          <w:lang w:val="en-us"/>
        </w:rPr>
        <w:t>—</w:t>
      </w:r>
      <w:r>
        <w:rPr>
          <w:rFonts w:ascii="Times New Roman" w:hAnsi="Times New Roman"/>
          <w:color w:val="000000"/>
          <w:sz w:val="24"/>
          <w:szCs w:val="24"/>
          <w:lang w:val="en-us"/>
        </w:rPr>
        <w:t xml:space="preserve">15. </w:t>
      </w:r>
      <w:r>
        <w:rPr>
          <w:rFonts w:ascii="Times New Roman" w:hAnsi="Times New Roman"/>
          <w:color w:val="000000"/>
          <w:sz w:val="24"/>
          <w:szCs w:val="24"/>
          <w:lang w:val="en-us"/>
        </w:rPr>
        <w:t xml:space="preserve">— </w:t>
      </w:r>
      <w:r>
        <w:rPr>
          <w:rFonts w:ascii="Times New Roman" w:hAnsi="Times New Roman"/>
          <w:color w:val="000000"/>
          <w:sz w:val="24"/>
          <w:szCs w:val="24"/>
          <w:lang w:val="en-us"/>
        </w:rPr>
        <w:t>DOI</w:t>
      </w:r>
      <w:r>
        <w:rPr>
          <w:rFonts w:ascii="Times New Roman" w:hAnsi="Times New Roman"/>
          <w:color w:val="000000"/>
          <w:sz w:val="24"/>
          <w:szCs w:val="24"/>
          <w:lang w:val="en-us"/>
        </w:rPr>
        <w:t xml:space="preserve"> </w:t>
      </w:r>
      <w:r>
        <w:rPr>
          <w:rFonts w:ascii="Times New Roman" w:hAnsi="Times New Roman"/>
          <w:color w:val="000000"/>
          <w:sz w:val="24"/>
          <w:szCs w:val="24"/>
          <w:lang w:val="en-us"/>
        </w:rPr>
        <w:t>10.1136/annrheumdis-2019-216655</w:t>
      </w:r>
      <w:r>
        <w:rPr>
          <w:rFonts w:ascii="Times New Roman" w:hAnsi="Times New Roman"/>
          <w:color w:val="000000"/>
          <w:sz w:val="24"/>
          <w:szCs w:val="24"/>
          <w:lang w:val="en-us"/>
        </w:rPr>
        <w:t xml:space="preserve">. — </w:t>
      </w:r>
      <w:r>
        <w:rPr>
          <w:rFonts w:ascii="Times New Roman" w:hAnsi="Times New Roman"/>
          <w:color w:val="000000"/>
          <w:sz w:val="24"/>
          <w:szCs w:val="24"/>
        </w:rPr>
        <w:t>Текст</w:t>
      </w:r>
      <w:r>
        <w:rPr>
          <w:rFonts w:ascii="Times New Roman" w:hAnsi="Times New Roman"/>
          <w:color w:val="000000"/>
          <w:sz w:val="24"/>
          <w:szCs w:val="24"/>
          <w:lang w:val="en-us"/>
        </w:rPr>
        <w:t> :</w:t>
      </w:r>
      <w:r>
        <w:rPr>
          <w:rFonts w:ascii="Times New Roman" w:hAnsi="Times New Roman"/>
          <w:color w:val="000000"/>
          <w:sz w:val="24"/>
          <w:szCs w:val="24"/>
          <w:lang w:val="en-us"/>
        </w:rPr>
        <w:t xml:space="preserve"> </w:t>
      </w:r>
      <w:r>
        <w:rPr>
          <w:rFonts w:ascii="Times New Roman" w:hAnsi="Times New Roman"/>
          <w:color w:val="000000"/>
          <w:sz w:val="24"/>
          <w:szCs w:val="24"/>
        </w:rPr>
        <w:t>электронный</w:t>
      </w:r>
      <w:r>
        <w:rPr>
          <w:rFonts w:ascii="Times New Roman" w:hAnsi="Times New Roman"/>
          <w:color w:val="000000"/>
          <w:sz w:val="24"/>
          <w:szCs w:val="24"/>
          <w:lang w:val="en-us"/>
        </w:rPr>
        <w:t>.</w:t>
      </w:r>
      <w:r>
        <w:rPr>
          <w:rFonts w:ascii="Times New Roman" w:hAnsi="Times New Roman"/>
          <w:color w:val="000000"/>
          <w:sz w:val="24"/>
          <w:szCs w:val="24"/>
          <w:lang w:val="en-us"/>
        </w:rPr>
        <w:t xml:space="preserve"> </w:t>
      </w: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11. </w:t>
      </w:r>
      <w:r>
        <w:rPr>
          <w:rFonts w:ascii="Times New Roman" w:hAnsi="Times New Roman"/>
          <w:i/>
          <w:color w:val="000000"/>
          <w:sz w:val="24"/>
          <w:szCs w:val="24"/>
          <w:lang w:val="en-us"/>
        </w:rPr>
        <w:t>Sokka T</w:t>
      </w:r>
      <w:r>
        <w:rPr>
          <w:rFonts w:ascii="Times New Roman" w:hAnsi="Times New Roman"/>
          <w:color w:val="000000"/>
          <w:sz w:val="24"/>
          <w:szCs w:val="24"/>
          <w:lang w:val="en-us"/>
        </w:rPr>
        <w:t xml:space="preserve">. Rheumatoid arthritis: strategy more important than agent / T. Sokka, T. Pincus // Lancet. — 2009. — Vol. 374. — P. 430—432. </w:t>
      </w:r>
    </w:p>
    <w:p>
      <w:pPr>
        <w:pStyle w:val="para17"/>
      </w:pPr>
      <w:r>
        <w:br w:type="page"/>
      </w:r>
      <w:bookmarkStart w:id="9" w:name="_Оглавление000008"/>
      <w:r/>
      <w:r>
        <w:rPr>
          <w:rFonts w:ascii="Symbol" w:hAnsi="Symbol" w:eastAsia="Symbol" w:cs="Symbol"/>
          <w:bCs w:val="0"/>
          <w:iCs w:val="0"/>
          <w:color w:val="ffffff"/>
          <w:kern w:val="1" kern="1"/>
          <w:lang w:eastAsia="zh-cn"/>
        </w:rPr>
        <w:t xml:space="preserve">© </w:t>
      </w:r>
      <w:r>
        <w:t xml:space="preserve">С. В. Карпова, И. С. Райкевич </w:t>
      </w:r>
      <w:bookmarkEnd w:id="9"/>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ФГБОУ ВО «Петрозаводский государственный университет»</w:t>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г. Петрозаводск, Россия</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r>
    </w:p>
    <w:p>
      <w:pPr>
        <w:pStyle w:val="para16"/>
      </w:pPr>
      <w:bookmarkStart w:id="10" w:name="_Оглавление000009"/>
      <w:r>
        <w:t>РЕАДАПТАЦИЯ ВОЕННОСЛУЖАЩИХ, ПРИБЫВШИХ ИЗ ДАЛЬНЕГО ПОХОДА</w:t>
      </w:r>
      <w:bookmarkEnd w:id="10"/>
      <w:r/>
    </w:p>
    <w:p>
      <w:pPr>
        <w:ind w:firstLine="284"/>
        <w:spacing w:after="0" w:line="240" w:lineRule="auto"/>
        <w:jc w:val="both"/>
        <w:tabs defTabSz="708">
          <w:tab w:val="left" w:pos="-709" w:leader="none"/>
        </w:tabs>
        <w:rPr>
          <w:rFonts w:ascii="Times New Roman" w:hAnsi="Times New Roman"/>
          <w:b/>
          <w:i/>
          <w:color w:val="000000"/>
          <w:sz w:val="24"/>
          <w:szCs w:val="24"/>
        </w:rPr>
      </w:pPr>
      <w:r>
        <w:rPr>
          <w:rFonts w:ascii="Times New Roman" w:hAnsi="Times New Roman"/>
          <w:b/>
          <w:i/>
          <w:color w:val="000000"/>
          <w:sz w:val="24"/>
          <w:szCs w:val="24"/>
        </w:rPr>
      </w:r>
    </w:p>
    <w:p>
      <w:pPr>
        <w:ind w:firstLine="284"/>
        <w:spacing w:after="0" w:line="240" w:lineRule="auto"/>
        <w:jc w:val="both"/>
        <w:rPr>
          <w:rFonts w:ascii="Times New Roman" w:hAnsi="Times New Roman"/>
          <w:b/>
          <w:color w:val="000000"/>
          <w:sz w:val="24"/>
          <w:szCs w:val="24"/>
        </w:rPr>
      </w:pPr>
      <w:r>
        <w:rPr>
          <w:rFonts w:ascii="Times New Roman" w:hAnsi="Times New Roman"/>
          <w:b/>
          <w:i/>
          <w:color w:val="000000"/>
          <w:sz w:val="24"/>
          <w:szCs w:val="24"/>
        </w:rPr>
        <w:t>Аннотация</w:t>
      </w:r>
      <w:r>
        <w:rPr>
          <w:rFonts w:ascii="Times New Roman" w:hAnsi="Times New Roman"/>
          <w:i/>
          <w:color w:val="000000"/>
          <w:sz w:val="24"/>
          <w:szCs w:val="24"/>
        </w:rPr>
        <w:t>.</w:t>
      </w:r>
      <w:r>
        <w:rPr>
          <w:rFonts w:ascii="Times New Roman" w:hAnsi="Times New Roman"/>
          <w:color w:val="000000"/>
          <w:sz w:val="24"/>
          <w:szCs w:val="24"/>
        </w:rPr>
        <w:t xml:space="preserve"> В статье предлагаются результаты исследования особенностей реадаптации военнослужащих, прибывших из дальнего похода.</w:t>
      </w: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Ключевые слова</w:t>
      </w:r>
      <w:r>
        <w:rPr>
          <w:rFonts w:ascii="Times New Roman" w:hAnsi="Times New Roman"/>
          <w:b/>
          <w:color w:val="000000"/>
          <w:sz w:val="24"/>
          <w:szCs w:val="24"/>
        </w:rPr>
        <w:t xml:space="preserve">: </w:t>
      </w:r>
      <w:r>
        <w:rPr>
          <w:rFonts w:ascii="Times New Roman" w:hAnsi="Times New Roman"/>
          <w:color w:val="000000"/>
          <w:sz w:val="24"/>
          <w:szCs w:val="24"/>
        </w:rPr>
        <w:t>адаптация, реадаптация, нервно-психическая устойчивость, военнослужащие.</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right"/>
        <w:rPr>
          <w:rFonts w:ascii="Times New Roman" w:hAnsi="Times New Roman"/>
          <w:b/>
          <w:i/>
          <w:color w:val="000000"/>
          <w:sz w:val="24"/>
          <w:szCs w:val="24"/>
          <w:lang w:val="en-us"/>
        </w:rPr>
      </w:pPr>
      <w:r>
        <w:rPr>
          <w:rFonts w:ascii="Times New Roman" w:hAnsi="Times New Roman"/>
          <w:b/>
          <w:i/>
          <w:color w:val="000000"/>
          <w:sz w:val="24"/>
          <w:szCs w:val="24"/>
          <w:lang w:val="en-us"/>
        </w:rPr>
        <w:t>S. V. Karpova, I. S. Raykevitch</w:t>
      </w:r>
    </w:p>
    <w:p>
      <w:pPr>
        <w:ind w:firstLine="284"/>
        <w:spacing w:after="0" w:line="240" w:lineRule="auto"/>
        <w:jc w:val="right"/>
        <w:rPr>
          <w:rFonts w:ascii="Times New Roman" w:hAnsi="Times New Roman"/>
          <w:i/>
          <w:color w:val="000000"/>
          <w:sz w:val="24"/>
          <w:szCs w:val="24"/>
          <w:lang w:val="en-us"/>
        </w:rPr>
      </w:pPr>
      <w:r>
        <w:rPr>
          <w:rFonts w:ascii="Times New Roman" w:hAnsi="Times New Roman"/>
          <w:i/>
          <w:color w:val="000000"/>
          <w:sz w:val="24"/>
          <w:szCs w:val="24"/>
          <w:lang w:val="en-us"/>
        </w:rPr>
        <w:t xml:space="preserve">Petrozavodsk State University </w:t>
      </w:r>
    </w:p>
    <w:p>
      <w:pPr>
        <w:ind w:firstLine="284"/>
        <w:spacing w:after="0" w:line="240" w:lineRule="auto"/>
        <w:jc w:val="right"/>
        <w:rPr>
          <w:rFonts w:ascii="Times New Roman" w:hAnsi="Times New Roman"/>
          <w:i/>
          <w:color w:val="000000"/>
          <w:sz w:val="24"/>
          <w:szCs w:val="24"/>
          <w:lang w:val="en-us"/>
        </w:rPr>
      </w:pPr>
      <w:r>
        <w:rPr>
          <w:rFonts w:ascii="Times New Roman" w:hAnsi="Times New Roman"/>
          <w:i/>
          <w:color w:val="000000"/>
          <w:sz w:val="24"/>
          <w:szCs w:val="24"/>
          <w:lang w:val="en-us"/>
        </w:rPr>
        <w:t>Petrozavodsk, Russia</w:t>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r>
    </w:p>
    <w:p>
      <w:pPr>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READAPTATION OF MILITARY PERSONNEL WHO ARRIVED FROM A LONG HIKE</w:t>
      </w:r>
    </w:p>
    <w:p>
      <w:pPr>
        <w:ind w:firstLine="284"/>
        <w:spacing w:after="0" w:line="240" w:lineRule="auto"/>
        <w:jc w:val="both"/>
        <w:rPr>
          <w:rFonts w:ascii="Times New Roman" w:hAnsi="Times New Roman"/>
          <w:i/>
          <w:color w:val="000000"/>
          <w:sz w:val="24"/>
          <w:szCs w:val="24"/>
          <w:lang w:val="en-us"/>
        </w:rPr>
      </w:pPr>
      <w:r>
        <w:rPr>
          <w:rFonts w:ascii="Times New Roman" w:hAnsi="Times New Roman"/>
          <w:i/>
          <w:color w:val="000000"/>
          <w:sz w:val="24"/>
          <w:szCs w:val="24"/>
          <w:lang w:val="en-us"/>
        </w:rPr>
      </w:r>
    </w:p>
    <w:p>
      <w:pPr>
        <w:ind w:firstLine="284"/>
        <w:spacing w:after="0" w:line="240" w:lineRule="auto"/>
        <w:jc w:val="both"/>
        <w:rPr>
          <w:rFonts w:ascii="Times New Roman" w:hAnsi="Times New Roman"/>
          <w:i/>
          <w:color w:val="000000"/>
          <w:sz w:val="24"/>
          <w:szCs w:val="24"/>
          <w:lang w:val="en-us"/>
        </w:rPr>
      </w:pPr>
      <w:r>
        <w:rPr>
          <w:rFonts w:ascii="Times New Roman" w:hAnsi="Times New Roman"/>
          <w:b/>
          <w:i/>
          <w:color w:val="000000"/>
          <w:sz w:val="24"/>
          <w:szCs w:val="24"/>
          <w:lang w:val="en-us"/>
        </w:rPr>
        <w:t>Abstract.</w:t>
      </w:r>
      <w:r>
        <w:rPr>
          <w:rFonts w:ascii="Times New Roman" w:hAnsi="Times New Roman"/>
          <w:color w:val="000000"/>
          <w:sz w:val="24"/>
          <w:szCs w:val="24"/>
          <w:lang w:val="en-us"/>
        </w:rPr>
        <w:t xml:space="preserve"> The article offers the results of a study of the features of the readaptation of servicemen who arrived from a long hike.</w:t>
      </w:r>
      <w:r>
        <w:rPr>
          <w:rFonts w:ascii="Times New Roman" w:hAnsi="Times New Roman"/>
          <w:i/>
          <w:color w:val="000000"/>
          <w:sz w:val="24"/>
          <w:szCs w:val="24"/>
          <w:lang w:val="en-us"/>
        </w:rPr>
      </w:r>
    </w:p>
    <w:p>
      <w:pPr>
        <w:ind w:firstLine="284"/>
        <w:spacing w:after="0" w:line="240" w:lineRule="auto"/>
        <w:jc w:val="both"/>
        <w:rPr>
          <w:rFonts w:ascii="Times New Roman" w:hAnsi="Times New Roman"/>
          <w:i/>
          <w:color w:val="000000"/>
          <w:sz w:val="24"/>
          <w:szCs w:val="24"/>
          <w:lang w:val="en-us"/>
        </w:rPr>
      </w:pPr>
      <w:r>
        <w:rPr>
          <w:rFonts w:ascii="Times New Roman" w:hAnsi="Times New Roman"/>
          <w:b/>
          <w:i/>
          <w:color w:val="000000"/>
          <w:sz w:val="24"/>
          <w:szCs w:val="24"/>
          <w:lang w:val="en-us"/>
        </w:rPr>
        <w:t>Keyword:</w:t>
      </w:r>
      <w:r>
        <w:rPr>
          <w:rFonts w:ascii="Times New Roman" w:hAnsi="Times New Roman"/>
          <w:b/>
          <w:color w:val="000000"/>
          <w:sz w:val="24"/>
          <w:szCs w:val="24"/>
          <w:lang w:val="en-us"/>
        </w:rPr>
        <w:t xml:space="preserve"> </w:t>
      </w:r>
      <w:r>
        <w:rPr>
          <w:rFonts w:ascii="Times New Roman" w:hAnsi="Times New Roman"/>
          <w:color w:val="000000"/>
          <w:sz w:val="24"/>
          <w:szCs w:val="24"/>
        </w:rPr>
        <w:t>а</w:t>
      </w:r>
      <w:r>
        <w:rPr>
          <w:rFonts w:ascii="Times New Roman" w:hAnsi="Times New Roman"/>
          <w:color w:val="000000"/>
          <w:sz w:val="24"/>
          <w:szCs w:val="24"/>
          <w:lang w:val="en-us"/>
        </w:rPr>
        <w:t>daptation</w:t>
      </w:r>
      <w:r>
        <w:rPr>
          <w:rFonts w:ascii="Times New Roman" w:hAnsi="Times New Roman"/>
          <w:color w:val="000000"/>
          <w:sz w:val="24"/>
          <w:szCs w:val="24"/>
          <w:lang w:val="en-us"/>
        </w:rPr>
        <w:t>, readaptation, neuropsychic stability, military personnel.</w:t>
      </w:r>
      <w:r>
        <w:rPr>
          <w:rFonts w:ascii="Times New Roman" w:hAnsi="Times New Roman"/>
          <w:i/>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современном мире множество вопросов, связанных с адаптацией человека. Один из основных вопросов: как взаимодействуют механизмы приспособления человека, как они помогают адаптироваться к окружающей среде, в свою очередь, сохраняют его целым функционирующим организмом.</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На всем протяжении жизненного пути человека процесс адаптации динамичен, при этом открывается новый вид этого процесса — реадаптация. Наличие нескольких периодов в жизни, сменяющих друг друга, которые предполагают длительное отсутствие в начальной среде и повторное привыкание к условиям среды, раскрывают сущность понятия повторной адаптации. Реадаптация отличается от общего понятия адаптации в том, что первичный результат адаптации является истинно первичным, согласно теории адаптации-реадаптации в современных представлениях о сущности понятия здоровья, реадаптация — это возвращение индивида к нормальной адаптированности в новых условиях существования [1].</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Гипотеза исследования предполагала, что динамика реадаптации военнослужащих, вернувшихся из дальнего похода, имеет специфику:</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выявить динамику реадаптации военнослужащих;</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выявить мотивацию и эмоциональный компонент личности военнослужащих, влияющих на реадаптацию;</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выявить динамику формирования исходов реадаптации.</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ходе исследования были использованы следующие методики: методика «Прогноз-2» по В. Рыбникову (предназначена для определения уровня нервно-психической устойчивости у военнослужащих и позволяет выявить отдельные признаки личностных нарушений, а также оценить вероятность возникновения нервно-психических срывов); методика «НПН-А» разработана К. Н. Поляковым, А. Н. Глушко (предназначена для выявления нервно-психической неустойчивости и некоторых акцентуаций характера); методика «Адаптивность (МЛО-АМ)» А. Г. Маклакова, С. В. Чермянина (для изучения адаптивных возможностей индивида на основе оценки некоторых психофизиологических и социально-психологических характеристик, отражающих интегральные особенности психического и социального развития); методика оценки личностного уровня тревожности по Ч. Спирбергу, t-критерий Стьюдента для зависимых выборок.</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Всего в исследовании приняло участие 147 человек, которые были трижды протестированы. В первой группе респондентов участвовали — пребывающие военнослужащие в дальнем походе, 147 человек: 20 человек срочной службы, 127 человек контрактной службы. При повторном тестировании в марте приняло участие 147 человек: 118 военнослужащих, прибывших из дальнего похода, и 29 военнослужащих, проходящих службу исключительно на суше. При третьем исследовании в ноябре приняло участие 147 человек: 84 военнослужащих, прибывших из дальнего похода, и 63 военнослужащих, пришедшие в организацию в 2020 году и проходящие военную службу на суше.</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Особенности реадаптации прослеживались при сравнении результатов исследования, проходившего во время похода и в течение трех месяцев после возвращения из похода. </w:t>
      </w:r>
    </w:p>
    <w:p>
      <w:pPr>
        <w:pStyle w:val="para13"/>
        <w:ind w:firstLine="284"/>
        <w:spacing w:after="0" w:line="240" w:lineRule="auto"/>
        <w:rPr>
          <w:rFonts w:ascii="Times New Roman" w:hAnsi="Times New Roman" w:eastAsia="Times New Roman"/>
          <w:color w:val="000000"/>
          <w:spacing w:val="-6" spc="45"/>
          <w:sz w:val="24"/>
          <w:szCs w:val="24"/>
          <w:lang w:eastAsia="ru-ru" w:bidi="ru-ru"/>
        </w:rPr>
      </w:pPr>
      <w:r>
        <w:rPr>
          <w:rFonts w:ascii="Times New Roman" w:hAnsi="Times New Roman" w:eastAsia="Times New Roman"/>
          <w:color w:val="000000"/>
          <w:spacing w:val="-6" spc="45"/>
          <w:sz w:val="24"/>
          <w:szCs w:val="24"/>
          <w:lang w:eastAsia="ru-ru" w:bidi="ru-ru"/>
        </w:rPr>
        <w:t>Находясь в дальнем походе, военнослужащие обладали удовлетворительным уровнем адаптации. Для четверти экипажа корабля это было первое дальнее плавание, где моряки-надводники старались всячески себя развивать: расширять знания о Родине и странах дальнего и ближнего зарубежья, повышать свой профессиональный уровень, коммуникативные способности и моральную нормативность. Кроме того, им приходилось привыкать к морской среде.</w:t>
      </w:r>
    </w:p>
    <w:p>
      <w:pPr>
        <w:pStyle w:val="para13"/>
        <w:ind w:firstLine="284"/>
        <w:spacing w:after="0" w:line="240" w:lineRule="auto"/>
        <w:rPr>
          <w:rFonts w:ascii="Times New Roman" w:hAnsi="Times New Roman"/>
          <w:color w:val="000000"/>
          <w:sz w:val="24"/>
          <w:szCs w:val="24"/>
        </w:rPr>
      </w:pPr>
      <w:r>
        <w:rPr>
          <w:rFonts w:ascii="Times New Roman" w:hAnsi="Times New Roman"/>
          <w:color w:val="000000"/>
          <w:sz w:val="24"/>
          <w:szCs w:val="24"/>
        </w:rPr>
        <w:t>В исследовании на первом этапе выявилось, что большинство членов экипажа обладало высоким уровнем нервно-психической устойчивости, при котором нервные срывы были маловероятны. Отдельные психические срывы у военнослужащих во время плавания возникали по следующим причинам: отдаленности от семьи, длительное отсутствие связи с семьей. Во время дальнего похода возникновение стрессовых ситуаций среди экипажа определялось незначительное количество раз, они благополучно разрешались при помощи психолога корабля. Как правило, отмечались снижение мотивации к исполнению служебной деятельности и к учебным занятиям после сеансов связи с семьей, в том числе повышалась мнительность, чувство ревности. Случались нервно-психические срывы с отрицательной направленностью в сторону взаимоотношений внутри воинского коллектива корабля.</w:t>
      </w:r>
    </w:p>
    <w:p>
      <w:pPr>
        <w:pStyle w:val="para13"/>
        <w:ind w:firstLine="284"/>
        <w:spacing w:after="0" w:line="240" w:lineRule="auto"/>
        <w:rPr>
          <w:rFonts w:ascii="Times New Roman" w:hAnsi="Times New Roman"/>
          <w:color w:val="000000"/>
          <w:sz w:val="24"/>
          <w:szCs w:val="24"/>
        </w:rPr>
      </w:pPr>
      <w:r>
        <w:rPr>
          <w:rFonts w:ascii="Times New Roman" w:hAnsi="Times New Roman"/>
          <w:color w:val="000000"/>
          <w:sz w:val="24"/>
          <w:szCs w:val="24"/>
        </w:rPr>
        <w:t xml:space="preserve">Большинство моряков команды имели выраженными истерические черты характера, проявлявшихся в позерстве, эгоцентризме, демонстративности поведения, желании быть в центре внимания, стремлении показаться в глазах окружающих значительной личностью, в жажде признания и оригинальности, в склонности к преувеличениям. Данные особенности затрудняли коллективную деятельность. Вероятно, объединение в однородный коллектив порождало желание выделить свою индивидуальность, получить внимание по интенсивности сродни тому, которое у них было на берегу, среди близких. </w:t>
      </w:r>
    </w:p>
    <w:p>
      <w:pPr>
        <w:pStyle w:val="para13"/>
        <w:ind w:firstLine="284"/>
        <w:spacing w:after="0" w:line="240" w:lineRule="auto"/>
        <w:rPr>
          <w:rFonts w:ascii="Times New Roman" w:hAnsi="Times New Roman" w:eastAsia="Times New Roman"/>
          <w:color w:val="000000"/>
          <w:spacing w:val="-6" spc="45"/>
          <w:sz w:val="24"/>
          <w:szCs w:val="24"/>
          <w:lang w:eastAsia="ru-ru" w:bidi="ru-ru"/>
        </w:rPr>
      </w:pPr>
      <w:r>
        <w:rPr>
          <w:rFonts w:ascii="Times New Roman" w:hAnsi="Times New Roman" w:eastAsia="Times New Roman"/>
          <w:color w:val="000000"/>
          <w:spacing w:val="-6" spc="45"/>
          <w:sz w:val="24"/>
          <w:szCs w:val="24"/>
          <w:lang w:eastAsia="ru-ru" w:bidi="ru-ru"/>
        </w:rPr>
        <w:t>В сравнительном анализе полученных результатов во время и после похода прослеживается изменение показателей, характеризующих особенности реадаптации военнослужащих, прибывших из дальнего похода. При смене условий пребывания, возвращении на берег военнослужащие отмечали улучшение психоэмоционального состояния, наличие комфортности во взаимоотношениях со сослуживцами и с руководством. Изменения выявились в показателях нервно-психической устойчивости (73/76 %), неустойчивости (27/3 %), в переживании благополучия (73/96 %), вероятности нервного срыва (27/4 %), смене выраженности черт характера (с истерических на психастенические), смена положительного влияния индивидуальной работы на коллективную. Демонстративность поведения, потребность во внимании изменилась на деликатность и тактичность в поведении респондентов. При исследовании причин, влияющих на нервно-психическое состояние военнослужащих, выявились следующие (см. рис.).</w:t>
      </w:r>
    </w:p>
    <w:p>
      <w:pPr>
        <w:pStyle w:val="para13"/>
        <w:ind w:firstLine="284"/>
        <w:spacing w:after="0" w:line="240" w:lineRule="auto"/>
        <w:rPr>
          <w:rFonts w:ascii="Times New Roman" w:hAnsi="Times New Roman"/>
          <w:color w:val="000000"/>
          <w:sz w:val="24"/>
          <w:szCs w:val="24"/>
        </w:rPr>
      </w:pPr>
      <w:r>
        <w:rPr>
          <w:rFonts w:ascii="Times New Roman" w:hAnsi="Times New Roman"/>
          <w:color w:val="000000"/>
          <w:sz w:val="24"/>
          <w:szCs w:val="24"/>
        </w:rPr>
      </w:r>
    </w:p>
    <w:p>
      <w:pPr>
        <w:pStyle w:val="para13"/>
        <w:ind w:firstLine="0"/>
        <w:spacing w:after="0" w:line="240" w:lineRule="auto"/>
        <w:jc w:val="center"/>
        <w:rPr>
          <w:rFonts w:ascii="Times New Roman" w:hAnsi="Times New Roman"/>
          <w:color w:val="000000"/>
          <w:sz w:val="24"/>
          <w:szCs w:val="24"/>
          <w:lang w:eastAsia="ru-ru"/>
        </w:rPr>
      </w:pPr>
      <w:r/>
      <w:r>
        <w:rPr>
          <w:noProof/>
        </w:rPr>
        <w:drawing>
          <wp:inline distT="0" distB="0" distL="0" distR="0">
            <wp:extent cx="5260975" cy="1511300"/>
            <wp:effectExtent l="0" t="0" r="0" b="0"/>
            <wp:docPr id="9" name="Изображение7"/>
            <wp:cNvGraphicFramePr/>
            <a:graphic xmlns:a="http://schemas.openxmlformats.org/drawingml/2006/main">
              <a:graphicData uri="http://schemas.openxmlformats.org/drawingml/2006/picture">
                <pic:pic xmlns:pic="http://schemas.openxmlformats.org/drawingml/2006/picture">
                  <pic:nvPicPr>
                    <pic:cNvPr id="9" name="Изображение7"/>
                    <pic:cNvPicPr>
                      <a:codePr string="" type="2" text="1"/>
                      <a:extLst>
                        <a:ext uri="sm">
                          <sm:smNativeData xmlns:sm="sm" val="SMDATA_17_A3dgZ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F0gAABMCQAAXSAAAEwJ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0AQAAB6AAAAAAAAAAAAAAAAAAAAIAAAAAAAAAAAAAAAIAAAAAAAAAXSAAAEwJAAAAAAAAAAAAAAAAAAAoAAAACAAAAAEAAAABAAAAMAAAABQAAAAAAAAAAAD//wAAAQAAAP//AAABAA=="/>
                        </a:ext>
                      </a:extLst>
                    </pic:cNvPicPr>
                  </pic:nvPicPr>
                  <pic:blipFill>
                    <a:blip r:embed="rId20"/>
                    <a:stretch>
                      <a:fillRect/>
                    </a:stretch>
                  </pic:blipFill>
                  <pic:spPr>
                    <a:xfrm>
                      <a:off x="0" y="0"/>
                      <a:ext cx="5260975" cy="1511300"/>
                    </a:xfrm>
                    <a:prstGeom prst="rect">
                      <a:avLst/>
                    </a:prstGeom>
                    <a:noFill/>
                    <a:ln w="12700">
                      <a:noFill/>
                    </a:ln>
                  </pic:spPr>
                </pic:pic>
              </a:graphicData>
            </a:graphic>
          </wp:inline>
        </w:drawing>
      </w:r>
      <w:r/>
      <w:r>
        <w:rPr>
          <w:rFonts w:ascii="Times New Roman" w:hAnsi="Times New Roman"/>
          <w:color w:val="000000"/>
          <w:sz w:val="24"/>
          <w:szCs w:val="24"/>
          <w:lang w:eastAsia="ru-ru"/>
        </w:rPr>
      </w:r>
    </w:p>
    <w:p>
      <w:pPr>
        <w:pStyle w:val="para13"/>
        <w:ind w:firstLine="0"/>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pStyle w:val="para13"/>
        <w:ind w:firstLine="0"/>
        <w:spacing w:after="0" w:line="240" w:lineRule="auto"/>
        <w:jc w:val="center"/>
        <w:rPr>
          <w:rFonts w:ascii="Times New Roman" w:hAnsi="Times New Roman"/>
          <w:color w:val="000000"/>
          <w:sz w:val="24"/>
          <w:szCs w:val="24"/>
        </w:rPr>
      </w:pPr>
      <w:r>
        <w:rPr>
          <w:rFonts w:ascii="Times New Roman" w:hAnsi="Times New Roman"/>
          <w:color w:val="000000"/>
          <w:sz w:val="24"/>
          <w:szCs w:val="24"/>
          <w:lang w:eastAsia="ru-ru"/>
        </w:rPr>
        <w:t>Причины, влияющие на нервно-психическое состояние</w:t>
      </w:r>
      <w:r>
        <w:rPr>
          <w:rFonts w:ascii="Times New Roman" w:hAnsi="Times New Roman"/>
          <w:color w:val="000000"/>
          <w:sz w:val="24"/>
          <w:szCs w:val="24"/>
        </w:rPr>
      </w:r>
    </w:p>
    <w:p>
      <w:pPr>
        <w:pStyle w:val="para13"/>
        <w:ind w:firstLine="284"/>
        <w:spacing w:after="0" w:line="240" w:lineRule="auto"/>
        <w:rPr>
          <w:rFonts w:ascii="Times New Roman" w:hAnsi="Times New Roman"/>
          <w:color w:val="000000"/>
          <w:sz w:val="24"/>
          <w:szCs w:val="24"/>
        </w:rPr>
      </w:pPr>
      <w:r>
        <w:rPr>
          <w:rFonts w:ascii="Times New Roman" w:hAnsi="Times New Roman"/>
          <w:color w:val="000000"/>
          <w:sz w:val="24"/>
          <w:szCs w:val="24"/>
        </w:rPr>
      </w:r>
    </w:p>
    <w:p>
      <w:pPr>
        <w:pStyle w:val="para13"/>
        <w:ind w:firstLine="284"/>
        <w:spacing w:after="0" w:line="240" w:lineRule="auto"/>
        <w:rPr>
          <w:rFonts w:ascii="Times New Roman" w:hAnsi="Times New Roman"/>
          <w:color w:val="000000"/>
          <w:sz w:val="24"/>
          <w:szCs w:val="24"/>
        </w:rPr>
      </w:pPr>
      <w:r>
        <w:rPr>
          <w:rFonts w:ascii="Times New Roman" w:hAnsi="Times New Roman"/>
          <w:color w:val="000000"/>
          <w:sz w:val="24"/>
          <w:szCs w:val="24"/>
        </w:rPr>
        <w:t xml:space="preserve">Как видно из рисунка, при нахождении на берегу факторами нарушения благополучного состояния стали доступность алкоголя и интернета (игры, в т. ч. азартные). При восстановлении непосредственного контакта с близкими, у военнослужащих возрос риск развития конфликтов и проблем внутри семьи. При выполнении служебных обязательств предпочтение уединенной работы сменилось на коллективное товарищество. Общность опыта повлияла на сближение военнослужащих. </w:t>
      </w:r>
    </w:p>
    <w:p>
      <w:pPr>
        <w:pStyle w:val="para13"/>
        <w:ind w:firstLine="284"/>
        <w:spacing w:after="0" w:line="240" w:lineRule="auto"/>
        <w:rPr>
          <w:rFonts w:ascii="Times New Roman" w:hAnsi="Times New Roman"/>
          <w:color w:val="000000"/>
          <w:sz w:val="24"/>
          <w:szCs w:val="24"/>
        </w:rPr>
      </w:pPr>
      <w:r>
        <w:rPr>
          <w:rFonts w:ascii="Times New Roman" w:hAnsi="Times New Roman"/>
          <w:color w:val="000000"/>
          <w:sz w:val="24"/>
          <w:szCs w:val="24"/>
        </w:rPr>
        <w:t xml:space="preserve">Также отмечены изменения показателей поведенческой регуляции (88/64 %), моральной нормативности (3/20 %) и коммуникативных способностей (9/16 %). Имеющиеся во время похода затруднения в построении контактов и поиске социальной роли изменились на легкое нахождение социальной роли и построение контактов. </w:t>
      </w:r>
    </w:p>
    <w:p>
      <w:pPr>
        <w:pStyle w:val="para13"/>
        <w:ind w:firstLine="284"/>
        <w:spacing w:after="0" w:line="240" w:lineRule="auto"/>
        <w:rPr>
          <w:rFonts w:ascii="Times New Roman" w:hAnsi="Times New Roman"/>
          <w:color w:val="000000"/>
          <w:sz w:val="24"/>
          <w:szCs w:val="24"/>
        </w:rPr>
      </w:pPr>
      <w:r>
        <w:rPr>
          <w:rFonts w:ascii="Times New Roman" w:hAnsi="Times New Roman"/>
          <w:color w:val="000000"/>
          <w:sz w:val="24"/>
          <w:szCs w:val="24"/>
        </w:rPr>
        <w:t xml:space="preserve">Военнослужащие во время дальнего похода имели средний уровень тревожности. Определялся умеренный индекс ситуативной тревожности. Он проявлялся в нервозности и озабоченности. У большинства респондентов определялась напряженность общения в коллективе. После похода уровень личностной тревоги значительно возрос (9/65 %), ее проявления стали более явными. Уровень ситуативной тревожности также повысился, причем он определялся как польза для благоприятного исхода процесса адаптации, т. к. позволял военнослужащему более внимательно подходить к ситуации, более верно решать возникшие вопросы и, соответственно, совершать меньше ошибок. </w:t>
      </w:r>
    </w:p>
    <w:p>
      <w:pPr>
        <w:pStyle w:val="para13"/>
        <w:ind w:firstLine="284"/>
        <w:spacing w:after="0" w:line="240" w:lineRule="auto"/>
        <w:rPr>
          <w:rFonts w:ascii="Times New Roman" w:hAnsi="Times New Roman"/>
          <w:color w:val="000000"/>
          <w:sz w:val="24"/>
          <w:szCs w:val="24"/>
        </w:rPr>
      </w:pPr>
      <w:r>
        <w:rPr>
          <w:rFonts w:ascii="Times New Roman" w:hAnsi="Times New Roman"/>
          <w:color w:val="000000"/>
          <w:sz w:val="24"/>
          <w:szCs w:val="24"/>
        </w:rPr>
        <w:t>Таким образом, военнослужащие, пребывающие в дальнем походе, имели высокий показатель поведенческой регуляции и низкие показатели моральной нормативности и коммуникационных способностей. Процесс адаптации находился на удовлетворительном уровне. Военнослужащий обладал следующей характеристикой: реальным восприятием действительности, невозможностью нахождения социальной роли и испытание трудностей в построении социальных контактов.</w:t>
      </w:r>
    </w:p>
    <w:p>
      <w:pPr>
        <w:pStyle w:val="para13"/>
        <w:ind w:firstLine="284"/>
        <w:spacing w:after="0" w:line="240" w:lineRule="auto"/>
        <w:rPr>
          <w:rFonts w:ascii="Times New Roman" w:hAnsi="Times New Roman"/>
          <w:color w:val="000000"/>
          <w:sz w:val="24"/>
          <w:szCs w:val="24"/>
        </w:rPr>
      </w:pPr>
      <w:r>
        <w:rPr>
          <w:rFonts w:ascii="Times New Roman" w:hAnsi="Times New Roman"/>
          <w:color w:val="000000"/>
          <w:sz w:val="24"/>
          <w:szCs w:val="24"/>
        </w:rPr>
        <w:t xml:space="preserve">При повторном исследовании, при возвращении в часть, характеристика адаптационных способностей изменилась: повысился уровень адаптации, коммуникативных навыков и моральной нормативности. Трудности в построении социальных контактов переросли в адекватное восприятие собственной социальной роли и расширение круга социальных контактов. Потребность в эмоциональной разрядке реализуется внутри семьи, 29 % обследованных респондентов отметили наличие семейных неурядиц, и в единичных случаях — при помощи алкоголя и азартных игр (1—2 %). </w:t>
      </w:r>
    </w:p>
    <w:p>
      <w:pPr>
        <w:pStyle w:val="para13"/>
        <w:ind w:firstLine="284"/>
        <w:spacing w:after="0" w:line="240" w:lineRule="auto"/>
        <w:rPr>
          <w:rFonts w:ascii="Times New Roman" w:hAnsi="Times New Roman"/>
          <w:color w:val="000000"/>
          <w:sz w:val="24"/>
          <w:szCs w:val="24"/>
        </w:rPr>
      </w:pPr>
      <w:r>
        <w:rPr>
          <w:rFonts w:ascii="Times New Roman" w:hAnsi="Times New Roman"/>
          <w:color w:val="000000"/>
          <w:sz w:val="24"/>
          <w:szCs w:val="24"/>
        </w:rPr>
        <w:t xml:space="preserve">В целом, реадаптированная личность характеризовалась адекватностью восприятия, склонностью к анализу собственных действий, тактичностью, повышенной требовательностью к выполнению формальностей. Наблюдалось более предпочтительное отношение к деятельности при работе в команде.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Итак, особенности реадаптации военнослужащего после дальнего похода:</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1. Процесс реадаптации военнослужащего при смене мест пребывания имеет постоянный характер.</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2. Длительность процесса адаптации у каждого военнослужащего индивидуальна.</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3. Нервно-психическая устойчивость имела средний или высокий уровень.</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4. Развитие нервно-психических срывов из-за семейных отношений — скандалы, ссоры, ревность; материального положения — неудовлетворенность материальным обеспечением военнослужащего, недостаточность средств, наличие кредитов, бесконтрольная трата средств на различные товары и услуги; духовной нравственности — отсутствие культуры общения и речи, наличие отрицательных манер поведения в социуме и другое.</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5. Происходит смена выраженности черт акцентуации характера военнослужащего с истерических на психастенические.</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xml:space="preserve">6. Точное знание собственной социальной роли и обязанностей, адекватная реакция на общественное порицание, отсутствие робости и неуверенности при исполнении служебных задач, стимуляция военнослужащих пребывать в воинском коллективе, терпимость к тяготам лишения службы, осознание воинского долга и развитие патриотизма у военнослужащего, анализ собственных действий, требовательность при выполнении служебных формальностей, открытость и активность в общении с другими военнослужащими и с командирами </w:t>
        <w:br w:type="textWrapping"/>
        <w:t>(начальниками).</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7. При высоком значении тревожности возрастает вероятность повышения уровня адаптационных способностей: поведенческой регуляции, моральной нормативности и коммуникационных навыков.</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Список литературы</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1. Теория адаптации — реадаптации в современных представлениях «Здоровье» / С. Н. Шилов, И. А. Игнатова, Т. А. Муллер [и др.] // Фундаментальные исследования. — 2015. — № 1 (часть 6). — С. 1275—1280.</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pStyle w:val="para17"/>
      </w:pPr>
      <w:r>
        <w:br w:type="page"/>
      </w:r>
      <w:bookmarkStart w:id="11" w:name="_Оглавление000010"/>
      <w:r/>
      <w:r>
        <w:rPr>
          <w:rFonts w:ascii="Symbol" w:hAnsi="Symbol" w:eastAsia="Symbol" w:cs="Symbol"/>
          <w:bCs w:val="0"/>
          <w:iCs w:val="0"/>
          <w:color w:val="ffffff"/>
          <w:kern w:val="1" kern="1"/>
          <w:lang w:eastAsia="zh-cn"/>
        </w:rPr>
        <w:t xml:space="preserve">© </w:t>
      </w:r>
      <w:r>
        <w:t>В. Н. Колесников, Ю. И. Мельник, Л. И. Теплова</w:t>
      </w:r>
      <w:bookmarkEnd w:id="11"/>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ФГБОУ ВО «Петрозаводский государственный университет»</w:t>
      </w:r>
    </w:p>
    <w:p>
      <w:pPr>
        <w:ind w:firstLine="284"/>
        <w:spacing w:after="0" w:line="240" w:lineRule="auto"/>
        <w:jc w:val="right"/>
        <w:rPr>
          <w:rFonts w:ascii="Times New Roman" w:hAnsi="Times New Roman"/>
          <w:i/>
          <w:color w:val="000000"/>
          <w:sz w:val="24"/>
          <w:szCs w:val="24"/>
          <w:u w:color="auto" w:val="single"/>
        </w:rPr>
      </w:pPr>
      <w:r>
        <w:rPr>
          <w:rFonts w:ascii="Times New Roman" w:hAnsi="Times New Roman"/>
          <w:i/>
          <w:color w:val="000000"/>
          <w:sz w:val="24"/>
          <w:szCs w:val="24"/>
        </w:rPr>
        <w:t>г. Петрозаводск, Россия</w:t>
      </w:r>
      <w:r>
        <w:rPr>
          <w:rFonts w:ascii="Times New Roman" w:hAnsi="Times New Roman"/>
          <w:i/>
          <w:color w:val="000000"/>
          <w:sz w:val="24"/>
          <w:szCs w:val="24"/>
          <w:u w:color="auto" w:val="single"/>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pStyle w:val="para16"/>
      </w:pPr>
      <w:bookmarkStart w:id="12" w:name="_Оглавление000011"/>
      <w:r>
        <w:t>БЛАГОДАРНОСТЬ В СТРУКТУРЕ ПСИХОЛОГИЧЕСКОГО БЛАГОПОЛУЧИЯ СТУДЕНТОВ</w:t>
      </w:r>
      <w:bookmarkEnd w:id="12"/>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Аннотация.</w:t>
      </w:r>
      <w:r>
        <w:rPr>
          <w:rFonts w:ascii="Times New Roman" w:hAnsi="Times New Roman"/>
          <w:color w:val="000000"/>
          <w:sz w:val="24"/>
          <w:szCs w:val="24"/>
        </w:rPr>
        <w:t xml:space="preserve"> В статье приводятся результаты исследования благодарности у студентов. Благодарность рассматривается как устойчивая черта/диспозиция личности, которая связана с психологическим благополучием личности и может определять его характеристики. На выборке студентов (N = 70) выявлены корреляционные связи благодарности с показателями эвдемонического и гедонистического благополучия, стратегиями совладающего поведения, степенью выраженности трудностей в студенческой жизни. Обсуждается возможность использования результатов изучения благодарности для организации мероприятий по психологическому сопровождению процесса обучения в вузе. </w:t>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Ключевые слова:</w:t>
      </w:r>
      <w:r>
        <w:rPr>
          <w:rFonts w:ascii="Times New Roman" w:hAnsi="Times New Roman"/>
          <w:color w:val="000000"/>
          <w:sz w:val="24"/>
          <w:szCs w:val="24"/>
        </w:rPr>
        <w:t xml:space="preserve"> благодарность, психологическое благополучие, копинг-стратегии, психологическое сопровождение учебного процесса в вузе.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p>
    <w:p>
      <w:pPr>
        <w:ind w:firstLine="284"/>
        <w:spacing w:after="0" w:line="240" w:lineRule="auto"/>
        <w:jc w:val="right"/>
        <w:rPr>
          <w:rFonts w:ascii="Times New Roman" w:hAnsi="Times New Roman"/>
          <w:b/>
          <w:i/>
          <w:color w:val="000000"/>
          <w:sz w:val="24"/>
          <w:szCs w:val="24"/>
          <w:lang w:val="en-us"/>
        </w:rPr>
      </w:pPr>
      <w:r>
        <w:rPr>
          <w:rFonts w:ascii="Times New Roman" w:hAnsi="Times New Roman"/>
          <w:b/>
          <w:i/>
          <w:color w:val="000000"/>
          <w:sz w:val="24"/>
          <w:szCs w:val="24"/>
          <w:lang w:val="en-us"/>
        </w:rPr>
        <w:t xml:space="preserve">V. N. Kolesnikov, J. I. Melnik, L. I. Teplova </w:t>
      </w:r>
    </w:p>
    <w:p>
      <w:pPr>
        <w:ind w:firstLine="284"/>
        <w:spacing w:after="0" w:line="240" w:lineRule="auto"/>
        <w:jc w:val="right"/>
        <w:rPr>
          <w:rFonts w:ascii="Times New Roman" w:hAnsi="Times New Roman"/>
          <w:i/>
          <w:color w:val="000000"/>
          <w:sz w:val="24"/>
          <w:szCs w:val="24"/>
          <w:lang w:val="en-us"/>
        </w:rPr>
      </w:pPr>
      <w:r>
        <w:rPr>
          <w:rFonts w:ascii="Times New Roman" w:hAnsi="Times New Roman"/>
          <w:i/>
          <w:color w:val="000000"/>
          <w:sz w:val="24"/>
          <w:szCs w:val="24"/>
          <w:lang w:val="en-us"/>
        </w:rPr>
        <w:t>Petrozavodsk State University</w:t>
      </w:r>
    </w:p>
    <w:p>
      <w:pPr>
        <w:ind w:firstLine="284"/>
        <w:spacing w:after="0" w:line="240" w:lineRule="auto"/>
        <w:jc w:val="right"/>
        <w:rPr>
          <w:rFonts w:ascii="Times New Roman" w:hAnsi="Times New Roman"/>
          <w:color w:val="000000"/>
          <w:sz w:val="24"/>
          <w:szCs w:val="24"/>
          <w:lang w:val="en-us"/>
        </w:rPr>
      </w:pPr>
      <w:r>
        <w:rPr>
          <w:rFonts w:ascii="Times New Roman" w:hAnsi="Times New Roman"/>
          <w:i/>
          <w:color w:val="000000"/>
          <w:sz w:val="24"/>
          <w:szCs w:val="24"/>
          <w:lang w:val="en-us"/>
        </w:rPr>
        <w:t>Petrozavodsk, Russia</w:t>
      </w: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r>
    </w:p>
    <w:p>
      <w:pPr>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THE GRATITUDE IN THE STRUCTURE OF THE UNIVERSITY STUDENTS’ PSYCHOLOGOCAL WELL-BEING</w:t>
      </w:r>
    </w:p>
    <w:p>
      <w:pPr>
        <w:ind w:firstLine="284"/>
        <w:spacing w:after="0" w:line="240" w:lineRule="auto"/>
        <w:jc w:val="both"/>
        <w:rPr>
          <w:rFonts w:ascii="Times New Roman" w:hAnsi="Times New Roman"/>
          <w:b/>
          <w:color w:val="000000"/>
          <w:sz w:val="24"/>
          <w:szCs w:val="24"/>
          <w:lang w:val="en-us"/>
        </w:rPr>
      </w:pPr>
      <w:r>
        <w:rPr>
          <w:rFonts w:ascii="Times New Roman" w:hAnsi="Times New Roman"/>
          <w:b/>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Abstract.</w:t>
      </w:r>
      <w:r>
        <w:rPr>
          <w:rFonts w:ascii="Times New Roman" w:hAnsi="Times New Roman"/>
          <w:color w:val="000000"/>
          <w:sz w:val="24"/>
          <w:szCs w:val="24"/>
          <w:lang w:val="en-us"/>
        </w:rPr>
        <w:t xml:space="preserve"> The article presents the results of a study of students' gratitude. The gratitude is considered as a stable personality trait/personality disposition, which can determine the characteristics of the psychological well-being. Correlations of gratitude with indicators of eudaimonic and hedonistic well-being as well as coping strategies and students life difficulties have been established (N = 70). The possibility of using the results of the study of gratitude in organizing events for the psychological support of the learning process at the university is discussed.</w:t>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Keywords:</w:t>
      </w:r>
      <w:r>
        <w:rPr>
          <w:rFonts w:ascii="Times New Roman" w:hAnsi="Times New Roman"/>
          <w:color w:val="000000"/>
          <w:sz w:val="24"/>
          <w:szCs w:val="24"/>
          <w:lang w:val="en-us"/>
        </w:rPr>
        <w:t xml:space="preserve"> gratitude, psychological well-being, </w:t>
      </w:r>
      <w:r>
        <w:rPr>
          <w:rFonts w:ascii="Times New Roman" w:hAnsi="Times New Roman"/>
          <w:bCs/>
          <w:color w:val="000000"/>
          <w:sz w:val="24"/>
          <w:szCs w:val="24"/>
          <w:shd w:val="clear" w:fill="ffffff"/>
          <w:lang w:val="en-us"/>
        </w:rPr>
        <w:t>coping strategies</w:t>
      </w:r>
      <w:r>
        <w:rPr>
          <w:rFonts w:ascii="Times New Roman" w:hAnsi="Times New Roman"/>
          <w:color w:val="000000"/>
          <w:sz w:val="24"/>
          <w:szCs w:val="24"/>
          <w:lang w:val="en-us"/>
        </w:rPr>
        <w:t>, psychological support of the educational process at the university.</w:t>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Чувство благодарности или благодарность — конструкты, которые с недавнего времени стали привлекать внимание психологов, занимающихся эмпирическими исследованиями. И хотя морально-нравственная категория благодарности с давних времен обсуждается авторами философских и религиозных трудов, разработка психологических аспектов этого феномена стала возможна благодаря популярности позитивной психологии, отрасли психологии, занимающейся изучением «позитивных» психологических феноменов.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 психологии благодарность определяется как одна из разновидностей эмоций или как устойчивая личностная черта, диспозиция [1; 3; 6]. Чувство благодарности возникает как ответная реакция на оказанную услугу, помощь, объем которой превосходит то, что должно быть сделано исходя из служебных обязанностей, и что может рассматриваться как проявление доброго отношения, альтруизма. Под благодарностью как чертой личности понимается способность осознавать и ценить все хорошее, что есть в жизни. Несмотря на то, что благодарность может иметь множество проявлений, которые фиксируются с помощью различных методов измерения, существует общий фактор благодарности. В исследовании Р. Эммонса с коллегами восемь измерений благодарности в результате проведенного факторного анализа объединились в один фактор, фактор благодарности [6]. Между благодарностью как диспозицией и благодарностью как эмоцией существует связь: у благодарных людей чувство благодарности возникает чаще, отличается большей интенсивностью, шире спектр связанных с ним ситуаций и объектов.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Благодарность имеет адресата (источник блага или благодаритель) и предмет (за что мы благодарны). Предмет благодарности (благо) должен иметь ценность для получателя. Характеристики источника блага, его поведение играют определенную роль для возникновения чувства благодарности. Благодарить можно за то, что требует от благотворителя дополнительных усилий, затрат. Определенную роль играет мотивация оказания помощи (вернее то, как она интерпретируется ее получателем): чувство благодарности — реакция на альтруистическое поведение. Таким образом, благодарность зависит от ценности для получателя помощи, затрат и мотивации благодетеля.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Адресатом благодарности могут быть не только люди или объединения людей в различных формах (государственные и общественные институции), но природные или сверхприродные силы, которые могут влиять на человека, его благополучие.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Благодарность как диспозиция имеет четыре основных измерения (Emmons, McCullough, Tsang, 2003): интенсивность (степень обычного переживания благодарности), частота переживания, диапазон объектов или жизненных событий, за которые человек благодарен, и люди, которым человек благодарен [5]. Объект настоящего исследования — диспозиционная благодарность.</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Благодарность выполняет адаптивную функцию и имеет эволюционную ценность, фасилитируя и поддерживая взаимодействие между людьми, которые не являются родственниками. На более глубоком уровне роль благодарности может быть обусловлена особым отношением к миру, которое лежит в ее основе. Благодарный человек принимает мир и других людей, ценит то хорошее, что дают ему люди и жизнь, и в то же время готов предпринимать серьезные усилия, чтобы справиться с трудностями и невзгодами жизни, не проявляя деструктивной агрессии по отношению к себе и другим. </w:t>
      </w:r>
    </w:p>
    <w:p>
      <w:pPr>
        <w:ind w:firstLine="284"/>
        <w:spacing w:after="0" w:line="240" w:lineRule="auto"/>
        <w:jc w:val="both"/>
        <w:rPr>
          <w:rFonts w:ascii="Times New Roman" w:hAnsi="Times New Roman" w:eastAsia="Times New Roman"/>
          <w:color w:val="000000"/>
          <w:spacing w:val="-6" spc="45"/>
          <w:sz w:val="24"/>
          <w:szCs w:val="24"/>
          <w:lang w:eastAsia="ru-ru" w:bidi="ru-ru"/>
        </w:rPr>
      </w:pPr>
      <w:r>
        <w:rPr>
          <w:rFonts w:ascii="Times New Roman" w:hAnsi="Times New Roman" w:eastAsia="Times New Roman"/>
          <w:color w:val="000000"/>
          <w:spacing w:val="-6" spc="45"/>
          <w:sz w:val="24"/>
          <w:szCs w:val="24"/>
          <w:lang w:eastAsia="ru-ru" w:bidi="ru-ru"/>
        </w:rPr>
        <w:t>Согласно опросам (Полюшкевич, 2017) многие люди полагают, что им не за что быть благодарными. Отсюда следует, что благодарность не является распространенным качеством [2].</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обзорной статье (A. M. Wood et al.) приводятся ссылки на результаты исследований, в которых была установлена зависимость между благодарностью и субъективным (или эмоциональным) благополучием [9]. Благодарность связана с позитивным и негативным аффектом, депрессией, тревогой, обнаружены также связи со всеми компонентами эвдемонического благополучия (в понимании К. Рифф), психическими расстройствами (наркотическая, алкогольная, табачная зависимость) [6; 7].</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Имеются основания считать благодарность фактором (причиной) психологического благополучия личности. Многочисленные исследования наглядно показывают влияние техник, направленных на развитие у человека благодарности (например, упражнение из арсенала позитивной психологии) на развитие психологического благополучия.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Благодарность как психологическая характеристика личности студента — феномен малоисследованный в психологической науке. Достижение конечной цели обучения в вузе — получение профессионального образования — определяет необходимость включения студента в систему социальных связей с другими участниками образовательного процесса, а также возможность (и необходимость) использовать ресурсы образовательной организации. Можно полагать, что проявления студенческой благодарности будут связаны с особенностями взаимодействия с педагогами, администрацией, другими студентами, качественными и количественными характеристиками предоставляемых образовательных и иных ресурсов, т. е. ситуационными переменными. Вполне возможно, что предполагаемые ситуационные переменные никак не влияют на благодарность, и различия в ее проявлениях определяются глубинными качествами личности студента или особенностями предшествующего опыта ее развития. Учитывая установленную в исследованиях роль благодарности для психологического благополучия, важно понимать детерминанты формирования диспозиционной благодарности как очевидно значимой психологической характеристики личности студента.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Благодарность как устойчивая диспозиция включается в состав моделей субъективного благополучия студентов, разработанных с учетом специфики возраста и особенностей деятельности. Так, в четырехкомпонентную модель структуры субъективного благополучия [3] помимо академической удовлетворенности (Academic Satisfaction), академической успешности (Academic Efficacy) и академической вовлеченности (School Connectedness) входит академическая признательность/благодарность (College Gratitude). Эта составляющая благополучия отражает признательность студента учебному заведению за возможность получить высшее образование и узнать что-то новое, признательность преподавателям и студентам, которые помогали учиться.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 настоящем исследовании рассматриваются связи между благодарностью и другими особенностями личности студента, прежде всего теми, которые имеют отношение к психологическому благополучию студента. Исследовательскую выборку составили студенты Петрозаводского государственного университета (N = 70, средний возраст 19,6 лет). Для оценки благодарности использовалась шкала академической признательности опросника академического благополучия (наряду с тремя остальными шкалами этого опросника). Использовались также следующие методики: </w:t>
      </w:r>
    </w:p>
    <w:p>
      <w:pPr>
        <w:ind w:firstLine="284"/>
        <w:spacing w:after="0" w:line="240" w:lineRule="auto"/>
        <w:jc w:val="both"/>
        <w:rPr>
          <w:rFonts w:ascii="Times New Roman" w:hAnsi="Times New Roman" w:eastAsia="Times New Roman"/>
          <w:color w:val="000000"/>
          <w:spacing w:val="-6" spc="45"/>
          <w:sz w:val="24"/>
          <w:szCs w:val="24"/>
        </w:rPr>
      </w:pPr>
      <w:r>
        <w:rPr>
          <w:rFonts w:ascii="Times New Roman" w:hAnsi="Times New Roman" w:eastAsia="Times New Roman"/>
          <w:color w:val="000000"/>
          <w:spacing w:val="-6" spc="45"/>
          <w:sz w:val="24"/>
          <w:szCs w:val="24"/>
          <w:lang w:val="en-us"/>
        </w:rPr>
        <w:t>— </w:t>
      </w:r>
      <w:r>
        <w:rPr>
          <w:rFonts w:ascii="Times New Roman" w:hAnsi="Times New Roman" w:eastAsia="Times New Roman"/>
          <w:color w:val="000000"/>
          <w:spacing w:val="-6" spc="45"/>
          <w:sz w:val="24"/>
          <w:szCs w:val="24"/>
        </w:rPr>
        <w:t>опросник</w:t>
      </w:r>
      <w:r>
        <w:rPr>
          <w:rFonts w:ascii="Times New Roman" w:hAnsi="Times New Roman" w:eastAsia="Times New Roman"/>
          <w:color w:val="000000"/>
          <w:spacing w:val="-6" spc="45"/>
          <w:sz w:val="24"/>
          <w:szCs w:val="24"/>
          <w:lang w:val="en-us"/>
        </w:rPr>
        <w:t xml:space="preserve"> </w:t>
      </w:r>
      <w:r>
        <w:rPr>
          <w:rFonts w:ascii="Times New Roman" w:hAnsi="Times New Roman" w:eastAsia="Times New Roman"/>
          <w:color w:val="000000"/>
          <w:spacing w:val="-6" spc="45"/>
          <w:sz w:val="24"/>
          <w:szCs w:val="24"/>
        </w:rPr>
        <w:t>студенческого</w:t>
      </w:r>
      <w:r>
        <w:rPr>
          <w:rFonts w:ascii="Times New Roman" w:hAnsi="Times New Roman" w:eastAsia="Times New Roman"/>
          <w:color w:val="000000"/>
          <w:spacing w:val="-6" spc="45"/>
          <w:sz w:val="24"/>
          <w:szCs w:val="24"/>
          <w:lang w:val="en-us"/>
        </w:rPr>
        <w:t xml:space="preserve"> </w:t>
      </w:r>
      <w:r>
        <w:rPr>
          <w:rFonts w:ascii="Times New Roman" w:hAnsi="Times New Roman" w:eastAsia="Times New Roman"/>
          <w:color w:val="000000"/>
          <w:spacing w:val="-6" spc="45"/>
          <w:sz w:val="24"/>
          <w:szCs w:val="24"/>
        </w:rPr>
        <w:t>благополучия</w:t>
      </w:r>
      <w:r>
        <w:rPr>
          <w:rFonts w:ascii="Times New Roman" w:hAnsi="Times New Roman" w:eastAsia="Times New Roman"/>
          <w:color w:val="000000"/>
          <w:spacing w:val="-6" spc="45"/>
          <w:sz w:val="24"/>
          <w:szCs w:val="24"/>
          <w:lang w:val="en-us"/>
        </w:rPr>
        <w:t xml:space="preserve"> (The student well-being process questionnaire). </w:t>
      </w:r>
      <w:r>
        <w:rPr>
          <w:rFonts w:ascii="Times New Roman" w:hAnsi="Times New Roman" w:eastAsia="Times New Roman"/>
          <w:color w:val="000000"/>
          <w:spacing w:val="-6" spc="45"/>
          <w:sz w:val="24"/>
          <w:szCs w:val="24"/>
        </w:rPr>
        <w:t>Опросник включает в себя шесть основных групп переменных: «стрессоры», «социальная поддержка», «позитивность личности» (оптимизм, самоуважение и самоэффективность), «негативный копинг», «позитивный копинг», «добросовестность», которые могут рассматриваться как предикторы благополучия, и три итоговых переменных, показателей субъективного благополучия и психического здоровья: «позитивный итог» (счастье, удовлетворенность и позитивные чувства), «негативный итог» (тревога, стресс и депрессия), «когнитивные проблемы»;</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шкала общей самоэффективности Р. Шварцера и М. Ерусалема;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опросник субъективного счастья С. Любомирски;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шкала удовлетворенности жизнью Э. Динера.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Для статистической обработки использовалась программа PASW(SPSS) 23. Как статистические значимые рассматривались значения критериев и коэффициентов корреляции на уровне статистической значимости 0,01 и выше.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Результаты и обсуждение</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eastAsia="Times New Roman"/>
          <w:color w:val="000000"/>
          <w:spacing w:val="-6" spc="45"/>
          <w:sz w:val="24"/>
          <w:szCs w:val="24"/>
          <w:lang w:eastAsia="ru-ru" w:bidi="ru-ru"/>
        </w:rPr>
      </w:pPr>
      <w:r>
        <w:rPr>
          <w:rFonts w:ascii="Times New Roman" w:hAnsi="Times New Roman" w:eastAsia="Times New Roman"/>
          <w:color w:val="000000"/>
          <w:spacing w:val="-6" spc="45"/>
          <w:sz w:val="24"/>
          <w:szCs w:val="24"/>
          <w:lang w:eastAsia="ru-ru" w:bidi="ru-ru"/>
        </w:rPr>
        <w:t>Шкала благодарности включает четыре вопроса: «Я очень благодарен за то, что получаю высшее образование», «Я благодарен преподавателям и студентам, которые помогали мне учиться», «Я признателен университету за возможность узнавать так много нового», «Я благодарен всем, кто помогал мне добиваться успеха в учебе». В опроснике использовалась семибалльная шкала Лайкерта градациями от 1 (совершенно не согласен) до 7 (полностью согласен).</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Полученные на выборке студентов данные показали, что шкала благодарности имеет высокую гомогенность (надежность) — альфа Кронбаха равна 0,88. Критерий Колмогорова — Смирнова равен 0,948, р = 0,330, т. е. эмпирическое распределение шкальных оценок не отличается от нормального. Средний балл 21, 34, стандартное отклонение 5,23. </w:t>
      </w:r>
    </w:p>
    <w:p>
      <w:pPr>
        <w:ind w:firstLine="284"/>
        <w:spacing w:after="0" w:line="240" w:lineRule="auto"/>
        <w:jc w:val="both"/>
        <w:rPr>
          <w:rFonts w:ascii="Times New Roman" w:hAnsi="Times New Roman" w:eastAsia="Times New Roman"/>
          <w:color w:val="000000"/>
          <w:spacing w:val="-6" spc="45"/>
          <w:sz w:val="24"/>
          <w:szCs w:val="24"/>
          <w:lang w:eastAsia="ru-ru" w:bidi="ru-ru"/>
        </w:rPr>
      </w:pPr>
      <w:r>
        <w:rPr>
          <w:rFonts w:ascii="Times New Roman" w:hAnsi="Times New Roman" w:eastAsia="Times New Roman"/>
          <w:color w:val="000000"/>
          <w:spacing w:val="-6" spc="45"/>
          <w:sz w:val="24"/>
          <w:szCs w:val="24"/>
          <w:lang w:eastAsia="ru-ru" w:bidi="ru-ru"/>
        </w:rPr>
        <w:t xml:space="preserve">Согласно полученным данным, почти две трети студентов (62 %) в той или иной степени согласны с первым утверждением опросника (благодарность за возможность получить высшее образование). Суммировались ответы трех пунктов шкалы Лайкерта. Почти такая же часть студентов (68 %) выражают признательность университету, 82 % студентов испытывают признательность преподавателям и студентам, 84 % — всем, кто помогал добиваться успехов. Таким образом, объектами благодарности чаще выступают люди, а не структурные компоненты общественного устройства, связанные с возможностью получения каких-либо благ. Хотя надо отметить, что и доля студентов, благодарных образовательным институциям, достаточно велика. Помощь в достижении успехов в учебе может восприниматься как личный вклад субъекта (преподавателей, других студентов, родителей), по этому пункту получен максимальный процентный показатель. Отметим, однако, что у 16 процентов даже в случае получения помощи эмоционального отклика в форме чувства благодарности не появляется. </w:t>
      </w:r>
    </w:p>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Благодарность и психологическое благополучие.</w:t>
      </w:r>
      <w:r>
        <w:rPr>
          <w:rFonts w:ascii="Times New Roman" w:hAnsi="Times New Roman"/>
          <w:color w:val="000000"/>
          <w:sz w:val="24"/>
          <w:szCs w:val="24"/>
        </w:rPr>
        <w:t xml:space="preserve"> Анализ связей между шкалами опросника академического благополучия выявил, что благодарность не связана с академической успешностью (эффективностью) (r = 0,034, p &gt; 0,05), но коррелирует с академической удовлетворенностью (r = 0,53, p &lt; 0,01) и вовлеченностью (r = 0,71, p &lt; 0,01). Академическая успешность в данном случае как измерение благополучия не является синонимом успеваемости, академических успехов и достижений, хотя и имеет с ними непосредственную связь. Это качество относится к убеждениям и проявляется в отношении студента к своим возможностям достижения академического успеха, вере в свои способности выполнять академические задания и успешно усваивать учебные материалы [8]. Таким образом, благодарность не зависит от того, полагает ли студент, что он сам может успешно справляться с учебой или чувствует себя беспомощным.</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Были выявлены положительные корреляции благодарности с удовлетворенностью жизнью (r = 0,57, p &lt; 0,01) и субъективным счастьем (r = 0,51, p &lt; 0,01), шкалами, представляющими в исследовании гедонистическое/субъективное благополучие.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Среди значимых корреляций благодарности со шкалами опросника, оценивающими другие компоненты субъективного благополучия, самые высокие — с позитивным настроем (0,71, p &lt; 0,01), переживанием счастья (0,59, p &lt; 0,01). Благодарность отрицательно связана со шкалой депрессии (‒ 0,46, p &lt; 0,01), положительно — со шкалой позитивных эмоций (0,53, p &lt; 0,01) и оптимизма (0,52, p &lt; 0,01), самооценкой (0,51, p &lt; 0,01). Связь благодарности (не связанной только с обучением, «общей» благодарностью) c психологическим благополучием выявляется и в других исследованиях [5; 7; 8].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Существующие теоретические модели феномена благодарности позволяют предполагать, что благодарность в системе выявленных корреляционных связей с компонентами благополучия в большинстве случаев может выступать в роли причинного фактора, т. е. определять уровень переживаемого студентом благополучия.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Благодарность не связана с курсом обучения и возрастом студентов. Различия между старшими и младшими курсами по этому показателю оказались не значимыми по критерию Манна — Уитни. Не было выявлено и различий между студентами младших и старших курсов при сравнении ответов на отдельные вопросы шкалы, соотносимых с разными проявлениями благодарности. Получается, что расширение области взаимодействия с преподавателями, обогащение опыта общения со студентами, овладение новыми знаниями не ведет за собой повышения чувства благодарности по отношению к вузу. Учитывая ограниченность выборки, было бы некорректным делать выводы о динамике благодарности за время обучения в вузе, даже полагая, что для этого имеются все условия: обучаясь в вузе и переходя на старшие курсы, студент становится обладателем все большего объема знаний, умений (компетенций), приобретает качества специалиста. Тем не менее, если все-таки полагать отсутствие изменений в благодарности за время обучения, можно допустить, что вклад общественных институций в профессиональное и личностное развитие или плохо осознается или мало ценится, возможно, полагается как нечто само собой разумеющееся.</w:t>
      </w:r>
    </w:p>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Благодарность и копинг-стратегии.</w:t>
      </w:r>
      <w:r>
        <w:rPr>
          <w:rFonts w:ascii="Times New Roman" w:hAnsi="Times New Roman"/>
          <w:color w:val="000000"/>
          <w:sz w:val="24"/>
          <w:szCs w:val="24"/>
        </w:rPr>
        <w:t xml:space="preserve"> Для пяти копинг-стратегий, которые оцениваются методикой (решение проблемы, избегание, самообвинение, уход в мечтания (wishfull thinking), поиск поддержки), установлена только одна значимая связь с поиском поддержки (обращением за помощью) (0,36, р &lt; 0,01). Поиск поддержки — один из адаптивных копингов и связь его с благодарностью достаточно очевидна: обращение за помощью к другому требует от него дополнительных усилий, что естественно вызывает у большинства чувство благодарности. Примечательно, что и самооценочные шкалы дружелюбия как черты характера и умение ладить с людьми также положительно коррелируют с благодарностью.</w:t>
      </w:r>
    </w:p>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Благодарность и трудности студенческой жизни.</w:t>
      </w:r>
      <w:r>
        <w:rPr>
          <w:rFonts w:ascii="Times New Roman" w:hAnsi="Times New Roman"/>
          <w:color w:val="000000"/>
          <w:sz w:val="24"/>
          <w:szCs w:val="24"/>
        </w:rPr>
        <w:t xml:space="preserve"> Опросник включал вопросы о степени выраженности трудностей, с которыми студент может столкнуться в своей студенческой жизни. Отрицательные связи благодарности получены только с неудовлетворенностью учебой (‒ 0,54, р &lt; 0,01) и шкалой социального отвержения (переживание одиночества и пр.) (‒ 0,33, р &lt; 0,05). Высокие оценки по этим шкалам указывают на неблагополучие студента, трудности в адаптации, возможно, наличие дезадаптации, проявляющейся как в общении со сверстниками (социальная дезадаптация), так и в учебной деятельности (учебная дезадаптция). Другие проблемы и трудности (выраженность), которые могут возникать у студентов: отношения со сверстниками, социальные неудобства, не связаны с благодарностью. </w:t>
      </w:r>
    </w:p>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Благодарность и социальная поддержка.</w:t>
      </w:r>
      <w:r>
        <w:rPr>
          <w:rFonts w:ascii="Times New Roman" w:hAnsi="Times New Roman"/>
          <w:color w:val="000000"/>
          <w:sz w:val="24"/>
          <w:szCs w:val="24"/>
        </w:rPr>
        <w:t xml:space="preserve"> Социальная поддержка в рамках данного исследования (и в соответствии с содержанием самого психологического конструкта, положенного в основу опросника, который использовался в исследовании) является феноменом субъективным. Это в первую очередь представления самого индивида о возможности получения поддержки. Вопросы социальной поддержки опросника касались наличия в ближайшем окружении людей, готовых оказать помощь в той или иной форме, от содействия в решении проблем и дружеской поддержки и участия до совместного времяпрепровождения. Как показало исследование, все шкалы социальной поддержки положительно коррелируют с благодарностью. Значения коэффициентов варьируют от 0,43 до 0,55 (р &lt; 0,01).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Полученные связи студенческой благодарности с феноменами, представляющими психологическое благополучие, позитивные качества личности могут быть объяснены в рамках существующих теоретических концепций, например, теории позитивных эмоций Б. Фридрихсон (Broaden and Build Theory) [4]. Благодарность как эмоциональная черта личности проявляется в частоте, интенсивности, диапазоне (спектр объектов и ситуаций, вызывающих эмоцию) переживания благодарности. Согласно теории позитивные эмоции расширяют когнитивный и поведенческий репертуар, повышают когнитивную гибкость и изменяют схемы мышления. Благодарность связана с переосмыслением ситуации — конструктивной формой эмоциональной регуляции [7]. По всей видимости, благодарные студенты лучше справляются со стрессовыми ситуациями, используя конструктивные копинг-стратегии, прежде всего обращение за социальной поддержкой. По данным нашего исследования, они более склонны видеть в других людях возможность получения поддержки и обращаться к ним как внешнему ресурсу в случае необходимости.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 работе А. М. Wood с коллегами [9] утверждается, что благодарные студенты легче справляются с трудностями адаптационного периода на первом курсе, благодарность является фактором формирования благополучия или неблагополучия у неблагодарных студентов.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Проведенное исследование оставляет открытыми целый ряд вопросов, требующих дальнейших научных изысканий: внутренние и внешние факторы, оказывающие влияние на развитие благодарности, определяющие межиндивидуальные различия, механизмы формирования, межгрупповые различия и др. Тем не менее полученные результаты позволяют рассматривать благодарность как внутренний ресурс личности, повышающий жизнестойкость и способствующий повышению уровня психологического благополучия личности.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Мы полагаем, что в учебных заведениях должна проводиться работа по формированию благодарности как позитивного качества личности. Позитивная психология располагает целым набором психологических технологий, эффективность которых подтверждена эмпирическими исследованиями. Ежедневное составление списка благодарностей, рефлексия благодарности, выражение благодарности в поведении — такого рода психологические интервенции могут быть включены в программы адаптационных мероприятий, проводимых со студентами в начале обучения. Психологические службы вуза, создание которых активно поддерживается на разных уровнях системы высшего образования, также используют разные формы работы (профилактические мероприятия, мероприятия по психологическому просвещению, индивидуальные консультации и др.), обеспечивая повышение уровня благодарности, и, учитывая каузальный характер связей благодарности с характеристиками благополучия, как следствие, повышение уровня психологического здоровья.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Список литературы</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1. </w:t>
      </w:r>
      <w:r>
        <w:rPr>
          <w:rFonts w:ascii="Times New Roman" w:hAnsi="Times New Roman"/>
          <w:i/>
          <w:color w:val="000000"/>
          <w:sz w:val="24"/>
          <w:szCs w:val="24"/>
          <w:lang w:val="ru-ru"/>
        </w:rPr>
        <w:t>Нартова-Бочавер С. К</w:t>
      </w:r>
      <w:r>
        <w:rPr>
          <w:rFonts w:ascii="Times New Roman" w:hAnsi="Times New Roman"/>
          <w:color w:val="000000"/>
          <w:sz w:val="24"/>
          <w:szCs w:val="24"/>
          <w:lang w:val="ru-ru"/>
        </w:rPr>
        <w:t>. Переживание благодарности как личностный ресурс: к постановке проблемы / С. К. Нартова-Бочавер, Г. К. Кислица // Психологический журнал. — 2017. — Т. 38, № 6. — С. 42—51.</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2. </w:t>
      </w:r>
      <w:r>
        <w:rPr>
          <w:rFonts w:ascii="Times New Roman" w:hAnsi="Times New Roman"/>
          <w:i/>
          <w:color w:val="000000"/>
          <w:sz w:val="24"/>
          <w:szCs w:val="24"/>
          <w:lang w:val="ru-ru"/>
        </w:rPr>
        <w:t>Полюшкевич О. А</w:t>
      </w:r>
      <w:r>
        <w:rPr>
          <w:rFonts w:ascii="Times New Roman" w:hAnsi="Times New Roman"/>
          <w:color w:val="000000"/>
          <w:sz w:val="24"/>
          <w:szCs w:val="24"/>
          <w:lang w:val="ru-ru"/>
        </w:rPr>
        <w:t>. Философия благодарности / О. А. Полюшкевич // Гуманитарный вектор. — 2017. — Т. 12, № 1. — С. 67—74. — DOI 10/21209/1996-7853-2017-12-1-67-74. — Текст : электронный.</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3. </w:t>
      </w:r>
      <w:r>
        <w:rPr>
          <w:rFonts w:ascii="Times New Roman" w:hAnsi="Times New Roman"/>
          <w:i/>
          <w:color w:val="000000"/>
          <w:sz w:val="24"/>
          <w:szCs w:val="24"/>
          <w:lang w:val="ru-ru"/>
        </w:rPr>
        <w:t>Синельникова Е. С</w:t>
      </w:r>
      <w:r>
        <w:rPr>
          <w:rFonts w:ascii="Times New Roman" w:hAnsi="Times New Roman"/>
          <w:color w:val="000000"/>
          <w:sz w:val="24"/>
          <w:szCs w:val="24"/>
          <w:lang w:val="ru-ru"/>
        </w:rPr>
        <w:t>. Благодарность как психологический феномен / Е. С. Синельникова // Вопросы психологии. — 2020. — № 5. — С. 25—33.</w:t>
      </w:r>
    </w:p>
    <w:p>
      <w:pPr>
        <w:pStyle w:val="para4"/>
        <w:ind w:left="0" w:firstLine="284"/>
        <w:spacing w:after="0" w:line="240" w:lineRule="auto"/>
        <w:contextualSpacing w:val="0"/>
        <w:jc w:val="both"/>
        <w:rPr>
          <w:rFonts w:ascii="Times New Roman" w:hAnsi="Times New Roman"/>
          <w:color w:val="000000"/>
          <w:sz w:val="24"/>
          <w:szCs w:val="24"/>
        </w:rPr>
      </w:pPr>
      <w:r>
        <w:rPr>
          <w:rFonts w:ascii="Times New Roman" w:hAnsi="Times New Roman"/>
          <w:color w:val="000000"/>
          <w:sz w:val="24"/>
          <w:szCs w:val="24"/>
        </w:rPr>
        <w:t>4. </w:t>
      </w:r>
      <w:r>
        <w:rPr>
          <w:rFonts w:ascii="Times New Roman" w:hAnsi="Times New Roman"/>
          <w:i/>
          <w:color w:val="000000"/>
          <w:sz w:val="24"/>
          <w:szCs w:val="24"/>
        </w:rPr>
        <w:t>Fredrickson B. L</w:t>
      </w:r>
      <w:r>
        <w:rPr>
          <w:rFonts w:ascii="Times New Roman" w:hAnsi="Times New Roman"/>
          <w:color w:val="000000"/>
          <w:sz w:val="24"/>
          <w:szCs w:val="24"/>
        </w:rPr>
        <w:t xml:space="preserve">. Cultivating research on positive emotions. Prevention and Treatment / B. L. Fredrickson // The World Wide Web. — 2001. </w:t>
      </w:r>
    </w:p>
    <w:p>
      <w:pPr>
        <w:pStyle w:val="para4"/>
        <w:ind w:left="0" w:firstLine="284"/>
        <w:spacing w:after="0" w:line="240" w:lineRule="auto"/>
        <w:contextualSpacing w:val="0"/>
        <w:jc w:val="both"/>
        <w:rPr>
          <w:rFonts w:ascii="Times New Roman" w:hAnsi="Times New Roman"/>
          <w:color w:val="000000"/>
          <w:sz w:val="24"/>
          <w:szCs w:val="24"/>
        </w:rPr>
      </w:pPr>
      <w:r>
        <w:rPr>
          <w:rFonts w:ascii="Times New Roman" w:hAnsi="Times New Roman"/>
          <w:color w:val="000000"/>
          <w:sz w:val="24"/>
          <w:szCs w:val="24"/>
        </w:rPr>
        <w:t>5. </w:t>
      </w:r>
      <w:r>
        <w:rPr>
          <w:rFonts w:ascii="Times New Roman" w:hAnsi="Times New Roman"/>
          <w:i/>
          <w:color w:val="000000"/>
          <w:sz w:val="24"/>
          <w:szCs w:val="24"/>
        </w:rPr>
        <w:t>Emmons R. A</w:t>
      </w:r>
      <w:r>
        <w:rPr>
          <w:rFonts w:ascii="Times New Roman" w:hAnsi="Times New Roman"/>
          <w:color w:val="000000"/>
          <w:sz w:val="24"/>
          <w:szCs w:val="24"/>
        </w:rPr>
        <w:t xml:space="preserve">. The assessment of gratitude / R. A. Emmons, </w:t>
      </w:r>
      <w:r>
        <w:rPr>
          <w:rFonts w:ascii="Times New Roman" w:hAnsi="Times New Roman"/>
          <w:color w:val="000000"/>
          <w:sz w:val="24"/>
          <w:szCs w:val="24"/>
          <w:lang w:val="ru-ru"/>
        </w:rPr>
        <w:t>М</w:t>
      </w:r>
      <w:r>
        <w:rPr>
          <w:rFonts w:ascii="Times New Roman" w:hAnsi="Times New Roman"/>
          <w:color w:val="000000"/>
          <w:sz w:val="24"/>
          <w:szCs w:val="24"/>
        </w:rPr>
        <w:t>. </w:t>
      </w:r>
      <w:r>
        <w:rPr>
          <w:rFonts w:ascii="Times New Roman" w:hAnsi="Times New Roman"/>
          <w:color w:val="000000"/>
          <w:sz w:val="24"/>
          <w:szCs w:val="24"/>
          <w:lang w:val="ru-ru"/>
        </w:rPr>
        <w:t>Е</w:t>
      </w:r>
      <w:r>
        <w:rPr>
          <w:rFonts w:ascii="Times New Roman" w:hAnsi="Times New Roman"/>
          <w:color w:val="000000"/>
          <w:sz w:val="24"/>
          <w:szCs w:val="24"/>
        </w:rPr>
        <w:t>. Mccullough, J. Tsang // Handbook of positive psychology assessment. — Washington, DC : American Psychological Association, 2003. — P. 327—342.</w:t>
      </w:r>
    </w:p>
    <w:p>
      <w:pPr>
        <w:pStyle w:val="para4"/>
        <w:ind w:left="0" w:firstLine="284"/>
        <w:spacing w:after="0" w:line="240" w:lineRule="auto"/>
        <w:contextualSpacing w:val="0"/>
        <w:jc w:val="both"/>
        <w:rPr>
          <w:rFonts w:ascii="Times New Roman" w:hAnsi="Times New Roman"/>
          <w:color w:val="000000"/>
          <w:sz w:val="24"/>
          <w:szCs w:val="24"/>
        </w:rPr>
      </w:pPr>
      <w:r>
        <w:rPr>
          <w:rFonts w:ascii="Times New Roman" w:hAnsi="Times New Roman"/>
          <w:color w:val="000000"/>
          <w:sz w:val="24"/>
          <w:szCs w:val="24"/>
        </w:rPr>
        <w:t>6. </w:t>
      </w:r>
      <w:r>
        <w:rPr>
          <w:rFonts w:ascii="Times New Roman" w:hAnsi="Times New Roman"/>
          <w:i/>
          <w:color w:val="000000"/>
          <w:sz w:val="24"/>
          <w:szCs w:val="24"/>
        </w:rPr>
        <w:t>Emmons R. A</w:t>
      </w:r>
      <w:r>
        <w:rPr>
          <w:rFonts w:ascii="Times New Roman" w:hAnsi="Times New Roman"/>
          <w:color w:val="000000"/>
          <w:sz w:val="24"/>
          <w:szCs w:val="24"/>
        </w:rPr>
        <w:t xml:space="preserve">. The Grateful Disposition: A Conceptual and Empirical Topography / R. A. Emmons, M. E. Mccullough, J. Tsang // Journal of Personality and Social Psychology. — 2002. — DOI: 10.1037//0022-3514.82.1.112.·— Text : electronic. </w:t>
      </w:r>
    </w:p>
    <w:p>
      <w:pPr>
        <w:pStyle w:val="para4"/>
        <w:ind w:left="0" w:firstLine="284"/>
        <w:spacing w:after="0" w:line="240" w:lineRule="auto"/>
        <w:contextualSpacing w:val="0"/>
        <w:jc w:val="both"/>
        <w:rPr>
          <w:rFonts w:ascii="Times New Roman" w:hAnsi="Times New Roman"/>
          <w:color w:val="000000"/>
          <w:sz w:val="24"/>
          <w:szCs w:val="24"/>
        </w:rPr>
      </w:pPr>
      <w:r>
        <w:rPr>
          <w:rFonts w:ascii="Times New Roman" w:hAnsi="Times New Roman"/>
          <w:color w:val="000000"/>
          <w:sz w:val="24"/>
          <w:szCs w:val="24"/>
        </w:rPr>
        <w:t>7. </w:t>
      </w:r>
      <w:r>
        <w:rPr>
          <w:rFonts w:ascii="Times New Roman" w:hAnsi="Times New Roman"/>
          <w:i/>
          <w:color w:val="000000"/>
          <w:sz w:val="24"/>
          <w:szCs w:val="24"/>
        </w:rPr>
        <w:t>Lambert N. M</w:t>
      </w:r>
      <w:r>
        <w:rPr>
          <w:rFonts w:ascii="Times New Roman" w:hAnsi="Times New Roman"/>
          <w:color w:val="000000"/>
          <w:sz w:val="24"/>
          <w:szCs w:val="24"/>
        </w:rPr>
        <w:t>. Gratitude and depressive symptoms: The role of positive reframing and positive emotion / N. M. Lambert, F. D. Fincham, T. F. Stillman // Cognition &amp; Emotion. — 2012. — Vol. 26, № 2. — P. 615—633. — DOI 10.1080/02699931.2011.595393. — Text : electronic.</w:t>
      </w:r>
    </w:p>
    <w:p>
      <w:pPr>
        <w:pStyle w:val="para4"/>
        <w:ind w:left="0" w:firstLine="284"/>
        <w:spacing w:after="0" w:line="240" w:lineRule="auto"/>
        <w:contextualSpacing w:val="0"/>
        <w:jc w:val="both"/>
        <w:rPr>
          <w:rFonts w:ascii="Times New Roman" w:hAnsi="Times New Roman"/>
          <w:color w:val="000000"/>
          <w:sz w:val="24"/>
          <w:szCs w:val="24"/>
        </w:rPr>
      </w:pPr>
      <w:r>
        <w:rPr>
          <w:rFonts w:ascii="Times New Roman" w:hAnsi="Times New Roman"/>
          <w:color w:val="000000"/>
          <w:sz w:val="24"/>
          <w:szCs w:val="24"/>
        </w:rPr>
        <w:t>8. </w:t>
      </w:r>
      <w:r>
        <w:rPr>
          <w:rFonts w:ascii="Times New Roman" w:hAnsi="Times New Roman"/>
          <w:i/>
          <w:color w:val="000000"/>
          <w:sz w:val="24"/>
          <w:szCs w:val="24"/>
        </w:rPr>
        <w:t>Mega C</w:t>
      </w:r>
      <w:r>
        <w:rPr>
          <w:rFonts w:ascii="Times New Roman" w:hAnsi="Times New Roman"/>
          <w:color w:val="000000"/>
          <w:sz w:val="24"/>
          <w:szCs w:val="24"/>
        </w:rPr>
        <w:t>. What makes a good student? How emotions, self-regulated learning, and motivation contribute to academic achievement / C. Mega, L. Ronconi, R. De Beni // J. Educ. Psychol. — 2014. — Vol. 106 (1):121. — Text : electronic.</w:t>
      </w:r>
    </w:p>
    <w:p>
      <w:pPr>
        <w:pStyle w:val="para4"/>
        <w:ind w:left="0" w:firstLine="284"/>
        <w:spacing w:after="0" w:line="240" w:lineRule="auto"/>
        <w:contextualSpacing w:val="0"/>
        <w:jc w:val="both"/>
        <w:rPr>
          <w:rFonts w:ascii="Times New Roman" w:hAnsi="Times New Roman"/>
          <w:color w:val="000000"/>
          <w:spacing w:val="-6" spc="45"/>
          <w:sz w:val="24"/>
          <w:szCs w:val="24"/>
        </w:rPr>
      </w:pPr>
      <w:r>
        <w:rPr>
          <w:rFonts w:ascii="Times New Roman" w:hAnsi="Times New Roman"/>
          <w:color w:val="000000"/>
          <w:spacing w:val="-6" spc="45"/>
          <w:sz w:val="24"/>
          <w:szCs w:val="24"/>
        </w:rPr>
        <w:t>9. </w:t>
      </w:r>
      <w:r>
        <w:rPr>
          <w:rFonts w:ascii="Times New Roman" w:hAnsi="Times New Roman"/>
          <w:i/>
          <w:color w:val="000000"/>
          <w:spacing w:val="-5" spc="45"/>
          <w:sz w:val="24"/>
          <w:szCs w:val="24"/>
        </w:rPr>
        <w:t>Wood A. M</w:t>
      </w:r>
      <w:r>
        <w:rPr>
          <w:rFonts w:ascii="Times New Roman" w:hAnsi="Times New Roman"/>
          <w:color w:val="000000"/>
          <w:spacing w:val="-6" spc="45"/>
          <w:sz w:val="24"/>
          <w:szCs w:val="24"/>
        </w:rPr>
        <w:t xml:space="preserve">. Gratitude and well-being: A review and theoretical integration / </w:t>
      </w:r>
      <w:r>
        <w:rPr>
          <w:rFonts w:ascii="Times New Roman" w:hAnsi="Times New Roman"/>
          <w:color w:val="000000"/>
          <w:spacing w:val="-6" spc="45"/>
          <w:sz w:val="24"/>
          <w:szCs w:val="24"/>
          <w:lang w:val="ru-ru"/>
        </w:rPr>
        <w:t>А</w:t>
      </w:r>
      <w:r>
        <w:rPr>
          <w:rFonts w:ascii="Times New Roman" w:hAnsi="Times New Roman"/>
          <w:color w:val="000000"/>
          <w:spacing w:val="-6" spc="45"/>
          <w:sz w:val="24"/>
          <w:szCs w:val="24"/>
        </w:rPr>
        <w:t>. </w:t>
      </w:r>
      <w:r>
        <w:rPr>
          <w:rFonts w:ascii="Times New Roman" w:hAnsi="Times New Roman"/>
          <w:color w:val="000000"/>
          <w:spacing w:val="-6" spc="45"/>
          <w:sz w:val="24"/>
          <w:szCs w:val="24"/>
          <w:lang w:val="ru-ru"/>
        </w:rPr>
        <w:t>М</w:t>
      </w:r>
      <w:r>
        <w:rPr>
          <w:rFonts w:ascii="Times New Roman" w:hAnsi="Times New Roman"/>
          <w:color w:val="000000"/>
          <w:spacing w:val="-6" spc="45"/>
          <w:sz w:val="24"/>
          <w:szCs w:val="24"/>
        </w:rPr>
        <w:t>. Wood [et al.] // Clinical Psychology Review. — 2010. — DOI 10.1016/j.cpr.2010.03.005. — Text : electronic.</w:t>
      </w:r>
    </w:p>
    <w:p>
      <w:pPr>
        <w:ind w:firstLine="284"/>
        <w:spacing w:after="0" w:line="240" w:lineRule="auto"/>
        <w:jc w:val="both"/>
        <w:rPr>
          <w:rFonts w:ascii="Times New Roman" w:hAnsi="Times New Roman"/>
          <w:b/>
          <w:i/>
          <w:color w:val="000000"/>
          <w:sz w:val="24"/>
          <w:szCs w:val="24"/>
          <w:lang w:val="en-us"/>
        </w:rPr>
      </w:pPr>
      <w:r>
        <w:rPr>
          <w:rFonts w:ascii="Times New Roman" w:hAnsi="Times New Roman"/>
          <w:b/>
          <w:i/>
          <w:color w:val="000000"/>
          <w:sz w:val="24"/>
          <w:szCs w:val="24"/>
          <w:lang w:val="en-us"/>
        </w:rPr>
      </w:r>
    </w:p>
    <w:p>
      <w:pPr>
        <w:pStyle w:val="para17"/>
      </w:pPr>
      <w:r>
        <w:br w:type="page"/>
      </w:r>
      <w:bookmarkStart w:id="13" w:name="_Оглавление000012"/>
      <w:r/>
      <w:r>
        <w:rPr>
          <w:rFonts w:ascii="Symbol" w:hAnsi="Symbol" w:eastAsia="Symbol" w:cs="Symbol"/>
          <w:bCs w:val="0"/>
          <w:iCs w:val="0"/>
          <w:color w:val="ffffff"/>
          <w:kern w:val="1" kern="1"/>
          <w:lang w:eastAsia="zh-cn"/>
        </w:rPr>
        <w:t xml:space="preserve">© </w:t>
      </w:r>
      <w:r>
        <w:t>А.</w:t>
      </w:r>
      <w:r>
        <w:rPr>
          <w:lang w:val="en-us"/>
        </w:rPr>
        <w:t> </w:t>
      </w:r>
      <w:r>
        <w:t>А.</w:t>
      </w:r>
      <w:r>
        <w:rPr>
          <w:lang w:val="en-us"/>
        </w:rPr>
        <w:t> </w:t>
      </w:r>
      <w:r>
        <w:t>Куртова, О.</w:t>
      </w:r>
      <w:r>
        <w:rPr>
          <w:lang w:val="en-us"/>
        </w:rPr>
        <w:t> </w:t>
      </w:r>
      <w:r>
        <w:t>Ю.</w:t>
      </w:r>
      <w:r>
        <w:rPr>
          <w:lang w:val="en-us"/>
        </w:rPr>
        <w:t> </w:t>
      </w:r>
      <w:r>
        <w:t>Юдина</w:t>
      </w:r>
      <w:bookmarkEnd w:id="13"/>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ФГБОУ ВО «Петрозаводский государственный университет»</w:t>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г. Петрозаводск, Россия</w:t>
      </w:r>
    </w:p>
    <w:p>
      <w:pPr>
        <w:ind w:firstLine="284"/>
        <w:spacing w:after="0" w:line="240" w:lineRule="auto"/>
        <w:jc w:val="both"/>
        <w:rPr>
          <w:rFonts w:ascii="Times New Roman" w:hAnsi="Times New Roman"/>
          <w:i/>
          <w:color w:val="000000"/>
          <w:sz w:val="24"/>
          <w:szCs w:val="24"/>
        </w:rPr>
      </w:pPr>
      <w:r>
        <w:rPr>
          <w:rFonts w:ascii="Times New Roman" w:hAnsi="Times New Roman"/>
          <w:i/>
          <w:color w:val="000000"/>
          <w:sz w:val="24"/>
          <w:szCs w:val="24"/>
        </w:rPr>
      </w:r>
    </w:p>
    <w:p>
      <w:pPr>
        <w:pStyle w:val="para16"/>
      </w:pPr>
      <w:bookmarkStart w:id="14" w:name="_Оглавление000013"/>
      <w:r>
        <w:t xml:space="preserve">МОНЕТАРНЫЕ ОТНОШЕНИЯ СТУДЕНТОВ </w:t>
        <w:br w:type="textWrapping"/>
        <w:t>С РАЗНЫМИ ЦЕННОСТНЫМИ ОРИЕНТАЦИЯМИ</w:t>
      </w:r>
      <w:bookmarkEnd w:id="14"/>
      <w:r/>
    </w:p>
    <w:p>
      <w:pPr>
        <w:ind w:firstLine="284"/>
        <w:spacing w:after="0" w:line="240" w:lineRule="auto"/>
        <w:jc w:val="both"/>
        <w:rPr>
          <w:rFonts w:ascii="Times New Roman" w:hAnsi="Times New Roman"/>
          <w:b/>
          <w:i/>
          <w:color w:val="000000"/>
          <w:sz w:val="24"/>
          <w:szCs w:val="24"/>
        </w:rPr>
      </w:pPr>
      <w:r>
        <w:rPr>
          <w:rFonts w:ascii="Times New Roman" w:hAnsi="Times New Roman"/>
          <w:b/>
          <w:i/>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Аннотация.</w:t>
      </w:r>
      <w:r>
        <w:rPr>
          <w:rFonts w:ascii="Times New Roman" w:hAnsi="Times New Roman"/>
          <w:i/>
          <w:color w:val="000000"/>
          <w:sz w:val="24"/>
          <w:szCs w:val="24"/>
        </w:rPr>
        <w:t xml:space="preserve"> </w:t>
      </w:r>
      <w:r>
        <w:rPr>
          <w:rFonts w:ascii="Times New Roman" w:hAnsi="Times New Roman"/>
          <w:color w:val="000000"/>
          <w:sz w:val="24"/>
          <w:szCs w:val="24"/>
        </w:rPr>
        <w:t>В статье анализируются монетарные отношения студентов с разными ценностными ориентациями. Описываются когнитивный, конативный и эмоциональный компоненты монетарных отношений, а также взаимосвязи между монетарными отношениями и ценностями студентов.</w:t>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Ключевые слова:</w:t>
      </w:r>
      <w:r>
        <w:rPr>
          <w:rFonts w:ascii="Times New Roman" w:hAnsi="Times New Roman"/>
          <w:i/>
          <w:color w:val="000000"/>
          <w:sz w:val="24"/>
          <w:szCs w:val="24"/>
        </w:rPr>
        <w:t xml:space="preserve"> </w:t>
      </w:r>
      <w:r>
        <w:rPr>
          <w:rFonts w:ascii="Times New Roman" w:hAnsi="Times New Roman"/>
          <w:color w:val="000000"/>
          <w:sz w:val="24"/>
          <w:szCs w:val="24"/>
        </w:rPr>
        <w:t>студенты, монетарные отношения, ценностные ориентации.</w:t>
      </w:r>
    </w:p>
    <w:p>
      <w:pPr>
        <w:ind w:firstLine="284"/>
        <w:spacing w:after="0" w:line="240" w:lineRule="auto"/>
        <w:jc w:val="both"/>
        <w:rPr>
          <w:rFonts w:ascii="Times New Roman" w:hAnsi="Times New Roman"/>
          <w:b/>
          <w:i/>
          <w:color w:val="000000"/>
          <w:sz w:val="24"/>
          <w:szCs w:val="24"/>
        </w:rPr>
      </w:pPr>
      <w:r>
        <w:rPr>
          <w:rFonts w:ascii="Times New Roman" w:hAnsi="Times New Roman"/>
          <w:b/>
          <w:i/>
          <w:color w:val="000000"/>
          <w:sz w:val="24"/>
          <w:szCs w:val="24"/>
        </w:rPr>
      </w:r>
    </w:p>
    <w:p>
      <w:pPr>
        <w:ind w:firstLine="284"/>
        <w:spacing w:after="0" w:line="240" w:lineRule="auto"/>
        <w:jc w:val="right"/>
        <w:rPr>
          <w:rFonts w:ascii="Times New Roman" w:hAnsi="Times New Roman"/>
          <w:b/>
          <w:i/>
          <w:color w:val="000000"/>
          <w:sz w:val="24"/>
          <w:szCs w:val="24"/>
          <w:lang w:val="en-us"/>
        </w:rPr>
      </w:pPr>
      <w:r>
        <w:rPr>
          <w:rFonts w:ascii="Times New Roman" w:hAnsi="Times New Roman"/>
          <w:b/>
          <w:i/>
          <w:color w:val="000000"/>
          <w:sz w:val="24"/>
          <w:szCs w:val="24"/>
          <w:lang w:val="en-us"/>
        </w:rPr>
        <w:t>A. A. Kurtova, O. Y. Udina</w:t>
      </w:r>
    </w:p>
    <w:p>
      <w:pPr>
        <w:pStyle w:val="para8"/>
        <w:ind w:firstLine="284"/>
        <w:spacing w:before="0" w:after="0" w:beforeAutospacing="0" w:afterAutospacing="0"/>
        <w:jc w:val="right"/>
        <w:rPr>
          <w:i/>
          <w:color w:val="000000"/>
          <w:lang w:val="en-us"/>
        </w:rPr>
      </w:pPr>
      <w:r>
        <w:rPr>
          <w:i/>
          <w:color w:val="000000"/>
          <w:lang w:val="en-us"/>
        </w:rPr>
        <w:t>Petrozavodsk State University</w:t>
      </w:r>
    </w:p>
    <w:p>
      <w:pPr>
        <w:pStyle w:val="para8"/>
        <w:ind w:firstLine="284"/>
        <w:spacing w:before="0" w:after="0" w:beforeAutospacing="0" w:afterAutospacing="0"/>
        <w:jc w:val="right"/>
        <w:rPr>
          <w:i/>
          <w:color w:val="000000"/>
          <w:lang w:val="en-us"/>
        </w:rPr>
      </w:pPr>
      <w:r>
        <w:rPr>
          <w:i/>
          <w:color w:val="000000"/>
          <w:lang w:val="en-us"/>
        </w:rPr>
        <w:t>Petrozavodsk, Russia</w:t>
      </w:r>
    </w:p>
    <w:p>
      <w:pPr>
        <w:ind w:firstLine="284"/>
        <w:spacing w:after="0" w:line="240" w:lineRule="auto"/>
        <w:jc w:val="both"/>
        <w:rPr>
          <w:rFonts w:ascii="Times New Roman" w:hAnsi="Times New Roman"/>
          <w:b/>
          <w:color w:val="000000"/>
          <w:sz w:val="24"/>
          <w:szCs w:val="24"/>
          <w:lang w:val="en-us"/>
        </w:rPr>
      </w:pPr>
      <w:r>
        <w:rPr>
          <w:rFonts w:ascii="Times New Roman" w:hAnsi="Times New Roman"/>
          <w:b/>
          <w:color w:val="000000"/>
          <w:sz w:val="24"/>
          <w:szCs w:val="24"/>
          <w:lang w:val="en-us"/>
        </w:rPr>
      </w:r>
    </w:p>
    <w:p>
      <w:pPr>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MONETARY RELATIONS OF STUDENTS WITH DIFFERENT VALUE ORIENTATIONS</w:t>
      </w:r>
    </w:p>
    <w:p>
      <w:pPr>
        <w:ind w:firstLine="284"/>
        <w:spacing w:after="0" w:line="240" w:lineRule="auto"/>
        <w:jc w:val="both"/>
        <w:rPr>
          <w:rFonts w:ascii="Times New Roman" w:hAnsi="Times New Roman"/>
          <w:b/>
          <w:i/>
          <w:color w:val="000000"/>
          <w:sz w:val="24"/>
          <w:szCs w:val="24"/>
          <w:lang w:val="en-us"/>
        </w:rPr>
      </w:pPr>
      <w:r>
        <w:rPr>
          <w:rFonts w:ascii="Times New Roman" w:hAnsi="Times New Roman"/>
          <w:b/>
          <w:i/>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Abstract.</w:t>
      </w:r>
      <w:r>
        <w:rPr>
          <w:rFonts w:ascii="Times New Roman" w:hAnsi="Times New Roman"/>
          <w:i/>
          <w:color w:val="000000"/>
          <w:sz w:val="24"/>
          <w:szCs w:val="24"/>
          <w:lang w:val="en-us"/>
        </w:rPr>
        <w:t xml:space="preserve"> </w:t>
      </w:r>
      <w:r>
        <w:rPr>
          <w:rFonts w:ascii="Times New Roman" w:hAnsi="Times New Roman"/>
          <w:color w:val="000000"/>
          <w:sz w:val="24"/>
          <w:szCs w:val="24"/>
          <w:lang w:val="en-us"/>
        </w:rPr>
        <w:t>This article analyzes</w:t>
      </w:r>
      <w:r>
        <w:rPr>
          <w:rFonts w:ascii="Times New Roman" w:hAnsi="Times New Roman"/>
          <w:bCs/>
          <w:color w:val="000000"/>
          <w:sz w:val="24"/>
          <w:szCs w:val="24"/>
          <w:lang w:val="en-us"/>
        </w:rPr>
        <w:t xml:space="preserve"> monetary relations of students with different value orientations</w:t>
      </w:r>
      <w:r>
        <w:rPr>
          <w:rFonts w:ascii="Times New Roman" w:hAnsi="Times New Roman"/>
          <w:color w:val="000000"/>
          <w:sz w:val="24"/>
          <w:szCs w:val="24"/>
          <w:lang w:val="en-us"/>
        </w:rPr>
        <w:t xml:space="preserve">. Cognitive, conative and emotional components are described. Correlations between monetary relations and </w:t>
      </w:r>
      <w:r>
        <w:rPr>
          <w:rFonts w:ascii="Times New Roman" w:hAnsi="Times New Roman"/>
          <w:bCs/>
          <w:color w:val="000000"/>
          <w:sz w:val="24"/>
          <w:szCs w:val="24"/>
          <w:lang w:val="en-us"/>
        </w:rPr>
        <w:t>value orientations have been studied.</w:t>
      </w:r>
      <w:r>
        <w:rPr>
          <w:rFonts w:ascii="Times New Roman" w:hAnsi="Times New Roman"/>
          <w:color w:val="000000"/>
          <w:sz w:val="24"/>
          <w:szCs w:val="24"/>
          <w:lang w:val="en-us"/>
        </w:rPr>
      </w:r>
    </w:p>
    <w:p>
      <w:pPr>
        <w:ind w:firstLine="284"/>
        <w:spacing w:after="0" w:line="240" w:lineRule="auto"/>
        <w:jc w:val="both"/>
        <w:rPr>
          <w:rFonts w:ascii="Times New Roman" w:hAnsi="Times New Roman"/>
          <w:i/>
          <w:color w:val="000000"/>
          <w:sz w:val="24"/>
          <w:szCs w:val="24"/>
          <w:lang w:val="en-us"/>
        </w:rPr>
      </w:pPr>
      <w:r>
        <w:rPr>
          <w:rFonts w:ascii="Times New Roman" w:hAnsi="Times New Roman"/>
          <w:b/>
          <w:i/>
          <w:color w:val="000000"/>
          <w:sz w:val="24"/>
          <w:szCs w:val="24"/>
          <w:lang w:val="en-us"/>
        </w:rPr>
        <w:t xml:space="preserve">Keywords: </w:t>
      </w:r>
      <w:r/>
      <w:bookmarkStart w:id="15" w:name="_Hlk146004513"/>
      <w:r/>
      <w:r>
        <w:rPr>
          <w:rFonts w:ascii="Times New Roman" w:hAnsi="Times New Roman"/>
          <w:bCs/>
          <w:color w:val="000000"/>
          <w:sz w:val="24"/>
          <w:szCs w:val="24"/>
          <w:lang w:val="en-us"/>
        </w:rPr>
        <w:t xml:space="preserve">students, </w:t>
      </w:r>
      <w:r/>
      <w:bookmarkStart w:id="16" w:name="_Hlk146004470"/>
      <w:r/>
      <w:r>
        <w:rPr>
          <w:rFonts w:ascii="Times New Roman" w:hAnsi="Times New Roman"/>
          <w:bCs/>
          <w:color w:val="000000"/>
          <w:sz w:val="24"/>
          <w:szCs w:val="24"/>
          <w:lang w:val="en-us"/>
        </w:rPr>
        <w:t>monetary relations</w:t>
      </w:r>
      <w:r/>
      <w:bookmarkEnd w:id="16"/>
      <w:r/>
      <w:r>
        <w:rPr>
          <w:rFonts w:ascii="Times New Roman" w:hAnsi="Times New Roman"/>
          <w:bCs/>
          <w:color w:val="000000"/>
          <w:sz w:val="24"/>
          <w:szCs w:val="24"/>
          <w:lang w:val="en-us"/>
        </w:rPr>
        <w:t xml:space="preserve">, </w:t>
      </w:r>
      <w:r/>
      <w:bookmarkStart w:id="17" w:name="_Hlk146005131"/>
      <w:r/>
      <w:r>
        <w:rPr>
          <w:rFonts w:ascii="Times New Roman" w:hAnsi="Times New Roman"/>
          <w:bCs/>
          <w:color w:val="000000"/>
          <w:sz w:val="24"/>
          <w:szCs w:val="24"/>
          <w:lang w:val="en-us"/>
        </w:rPr>
        <w:t>value orientations</w:t>
      </w:r>
      <w:r/>
      <w:bookmarkEnd w:id="15"/>
      <w:r/>
      <w:bookmarkEnd w:id="17"/>
      <w:r/>
      <w:r>
        <w:rPr>
          <w:rFonts w:ascii="Times New Roman" w:hAnsi="Times New Roman"/>
          <w:i/>
          <w:color w:val="000000"/>
          <w:sz w:val="24"/>
          <w:szCs w:val="24"/>
          <w:lang w:val="en-us"/>
        </w:rPr>
        <w:t>.</w:t>
      </w:r>
      <w:r>
        <w:rPr>
          <w:rFonts w:ascii="Times New Roman" w:hAnsi="Times New Roman"/>
          <w:i/>
          <w:color w:val="000000"/>
          <w:sz w:val="24"/>
          <w:szCs w:val="24"/>
          <w:lang w:val="en-us"/>
        </w:rPr>
      </w:r>
    </w:p>
    <w:p>
      <w:pPr>
        <w:ind w:firstLine="284"/>
        <w:spacing w:after="0" w:line="240" w:lineRule="auto"/>
        <w:jc w:val="both"/>
        <w:rPr>
          <w:rFonts w:ascii="Times New Roman" w:hAnsi="Times New Roman"/>
          <w:i/>
          <w:color w:val="000000"/>
          <w:sz w:val="24"/>
          <w:szCs w:val="24"/>
          <w:lang w:val="en-us"/>
        </w:rPr>
      </w:pPr>
      <w:r>
        <w:rPr>
          <w:rFonts w:ascii="Times New Roman" w:hAnsi="Times New Roman"/>
          <w:i/>
          <w:color w:val="000000"/>
          <w:sz w:val="24"/>
          <w:szCs w:val="24"/>
          <w:lang w:val="en-us"/>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Современное общество, на фоне высокого темпа жизни в целом, характеризуется быстрыми изменениями взглядов на те или иные ценности. Размываются границы общепринятого, отходят в прошлое опоры на традиции. Наиболее ярко это проявляется в студенческом возрасте, когда молодые люди только начинают выстраивать свою жизнь самостоятельно. На первый план в этих обстоятельствах выступают индивидуально сформированные системы ценностей. Одним из центральных аспектов самостоятельной жизни молодежи становятся деньги. Как отмечают исследователи, студенты относятся к деньгам достаточно ответственно и реалистично, но для многих из них характерна чрезмерная напряженность, связанная с желанием максимально рационально использовать свои средства и боязнью потерять деньги впустую. В этом возрасте деньги часто становятся показателем социальной ценности и престижа [3; 6].</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 xml:space="preserve">Научный интерес к феномену «монетарные отношения» возник с момента первых исследований А. Фенэма, опубликованных в 1984 году. В России этот и смежные феномены стали исследоваться значительно позже, большинство работ, связанных с данной темой, были опубликованы в течение последних 15—20 лет [1—5 и др.]. В соответствии с теорией, разработанной В. Н. Мясищевым и его последователями, монетарные отношения представляют собой компонент целостной системы отношений личности, отражающий ее индивидуальный, субъективно-оценочный, избирательный подход к деньгам как объекту действительности и представляющий собой интериоризированный опыт обращения с деньгами и взаимодействия с другими людьми по поводу денег в специфической социокультурной ситуации. В целом монетарные отношения являются достаточно устойчивой характеристикой личности, обобщающей позицию человека относительно денег [7]. Данный феномен содержит три компонента: когнитивный — установки и представления относительно денег, эмоциональный — переживания по поводу денег, конативный — поведение, связанное с деньгами. </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С. Т. Джанерьян и Е. А. Махрина [1] предлагают разделение монетарных отношений на ценностные, смысловые и оценочные. А. Б. Фенько выделил три вида монетарных отношений в зависимости от уровня конфликтности [8]: актуально конфликтное, когда важность денег сочетается с их эмоциональным непринятием, потенциально конфликтное отношение, где деньги воспринимаются одновременно и как частично «хорошие», и как частично «плохие», и бесконфликтное отношение, в котором отношение к деньгам положительное.</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Исследования монетарных отношений в основном проводятся во взрослой выборке, когда система ценностей человека уже сформирована. Известно, что студенческий возраст отличается тем, что система ценностей здесь находится на пути становления. При этом, несмотря на обширную базу исследований ценностей студентов, они практически не рассматривались психологами в соотношении с монетарными отношениями. Таким образом, в данном исследовании были изучены ценностные ориентации студентов с различными монетарными отношениями. В качестве гипотез послужили предположения о существовании различий в ценностных ориентациях студентов с различными монетарными отношениями и о наличии взаимосвязей между монетарными отношениями и ценностными ориентациями студентов. Выборку составили 52 студента в возрасте от 17 до 24 лет, из них 33 девушки и 18 юношей. В качестве методов исследования были взяты: «Опросник монетарных аттитюдов» Б. и Т. Клонц, цветовой тест отношений А. М. Эткинда, ассоциативный эксперимент (испытуемые называли ассоциации к слову «деньги») и методика «Ценностные ориентации» М. Рокича. Статистическими методами обработки данных послужили U-критерий Манна — Уитни и корреляционный анализ r-Спирмена.</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 xml:space="preserve">В результате исследования было обнаружено, что когнитивный компонент монетарных отношений характеризует </w:t>
      </w:r>
      <w:r>
        <w:rPr>
          <w:rFonts w:ascii="Times New Roman" w:hAnsi="Times New Roman" w:eastAsia="Times New Roman"/>
          <w:highlight w:val="white"/>
          <w:color w:val="000000"/>
          <w:sz w:val="24"/>
          <w:szCs w:val="24"/>
        </w:rPr>
        <w:t>прямая взаимосвязь уровня «Поклонения деньгам» с уровнем «Денег как статуса» и обратная взаимосвязь «Поклонения деньгам» с «Избеганием денег». Кроме того, особенностью познавательного компонента отношения студентов к деньгам являются различные представления о деньгах, в зависимости от выраженности того или иного монетарного отношения.</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pacing w:val="6" spc="55"/>
          <w:sz w:val="24"/>
          <w:szCs w:val="24"/>
          <w:lang w:eastAsia="ru-ru" w:bidi="ru-ru"/>
        </w:rPr>
      </w:pPr>
      <w:r>
        <w:rPr>
          <w:rFonts w:ascii="Times New Roman" w:hAnsi="Times New Roman" w:eastAsia="Times New Roman"/>
          <w:color w:val="000000"/>
          <w:spacing w:val="6" spc="55"/>
          <w:sz w:val="24"/>
          <w:szCs w:val="24"/>
          <w:lang w:eastAsia="ru-ru" w:bidi="ru-ru"/>
        </w:rPr>
        <w:t xml:space="preserve">Конативный компонент характеризуется избеганием любых трат при высоком уровне </w:t>
      </w:r>
      <w:r>
        <w:rPr>
          <w:rFonts w:ascii="Times New Roman" w:hAnsi="Times New Roman" w:eastAsia="Times New Roman"/>
          <w:highlight w:val="white"/>
          <w:color w:val="000000"/>
          <w:spacing w:val="6" spc="55"/>
          <w:sz w:val="24"/>
          <w:szCs w:val="24"/>
          <w:lang w:eastAsia="ru-ru" w:bidi="ru-ru"/>
        </w:rPr>
        <w:t>«Избегания денег»</w:t>
      </w:r>
      <w:r>
        <w:rPr>
          <w:rFonts w:ascii="Times New Roman" w:hAnsi="Times New Roman" w:eastAsia="Times New Roman"/>
          <w:color w:val="000000"/>
          <w:spacing w:val="6" spc="55"/>
          <w:sz w:val="24"/>
          <w:szCs w:val="24"/>
          <w:lang w:eastAsia="ru-ru" w:bidi="ru-ru"/>
        </w:rPr>
        <w:t xml:space="preserve"> и готовностью получать и тратить деньги при среднем и низком уровне </w:t>
      </w:r>
      <w:r>
        <w:rPr>
          <w:rFonts w:ascii="Times New Roman" w:hAnsi="Times New Roman" w:eastAsia="Times New Roman"/>
          <w:highlight w:val="white"/>
          <w:color w:val="000000"/>
          <w:spacing w:val="6" spc="55"/>
          <w:sz w:val="24"/>
          <w:szCs w:val="24"/>
          <w:lang w:eastAsia="ru-ru" w:bidi="ru-ru"/>
        </w:rPr>
        <w:t>«Избегания денег»</w:t>
      </w:r>
      <w:r>
        <w:rPr>
          <w:rFonts w:ascii="Times New Roman" w:hAnsi="Times New Roman" w:eastAsia="Times New Roman"/>
          <w:color w:val="000000"/>
          <w:spacing w:val="6" spc="55"/>
          <w:sz w:val="24"/>
          <w:szCs w:val="24"/>
          <w:lang w:eastAsia="ru-ru" w:bidi="ru-ru"/>
        </w:rPr>
        <w:t xml:space="preserve">, а также рискованным монетарным поведением при высоком уровне </w:t>
      </w:r>
      <w:r>
        <w:rPr>
          <w:rFonts w:ascii="Times New Roman" w:hAnsi="Times New Roman" w:eastAsia="Times New Roman"/>
          <w:highlight w:val="white"/>
          <w:color w:val="000000"/>
          <w:spacing w:val="6" spc="55"/>
          <w:sz w:val="24"/>
          <w:szCs w:val="24"/>
          <w:lang w:eastAsia="ru-ru" w:bidi="ru-ru"/>
        </w:rPr>
        <w:t>«Денег как статуса»</w:t>
      </w:r>
      <w:r>
        <w:rPr>
          <w:rFonts w:ascii="Times New Roman" w:hAnsi="Times New Roman" w:eastAsia="Times New Roman"/>
          <w:color w:val="000000"/>
          <w:spacing w:val="6" spc="55"/>
          <w:sz w:val="24"/>
          <w:szCs w:val="24"/>
          <w:lang w:eastAsia="ru-ru" w:bidi="ru-ru"/>
        </w:rPr>
        <w:t xml:space="preserve">, импульсивными тратами при высоком уровне </w:t>
      </w:r>
      <w:r>
        <w:rPr>
          <w:rFonts w:ascii="Times New Roman" w:hAnsi="Times New Roman" w:eastAsia="Times New Roman"/>
          <w:highlight w:val="white"/>
          <w:color w:val="000000"/>
          <w:spacing w:val="6" spc="55"/>
          <w:sz w:val="24"/>
          <w:szCs w:val="24"/>
          <w:lang w:eastAsia="ru-ru" w:bidi="ru-ru"/>
        </w:rPr>
        <w:t>«Денег как статуса» и высоком уровне</w:t>
      </w:r>
      <w:r>
        <w:rPr>
          <w:rFonts w:ascii="Times New Roman" w:hAnsi="Times New Roman" w:eastAsia="Times New Roman"/>
          <w:color w:val="000000"/>
          <w:spacing w:val="6" spc="55"/>
          <w:sz w:val="24"/>
          <w:szCs w:val="24"/>
          <w:lang w:eastAsia="ru-ru" w:bidi="ru-ru"/>
        </w:rPr>
        <w:t xml:space="preserve"> </w:t>
      </w:r>
      <w:r>
        <w:rPr>
          <w:rFonts w:ascii="Times New Roman" w:hAnsi="Times New Roman" w:eastAsia="Times New Roman"/>
          <w:highlight w:val="white"/>
          <w:color w:val="000000"/>
          <w:spacing w:val="6" spc="55"/>
          <w:sz w:val="24"/>
          <w:szCs w:val="24"/>
          <w:lang w:eastAsia="ru-ru" w:bidi="ru-ru"/>
        </w:rPr>
        <w:t>«Поклонения деньгам»</w:t>
      </w:r>
      <w:r>
        <w:rPr>
          <w:rFonts w:ascii="Times New Roman" w:hAnsi="Times New Roman" w:eastAsia="Times New Roman"/>
          <w:color w:val="000000"/>
          <w:spacing w:val="6" spc="55"/>
          <w:sz w:val="24"/>
          <w:szCs w:val="24"/>
          <w:lang w:eastAsia="ru-ru" w:bidi="ru-ru"/>
        </w:rPr>
        <w:t xml:space="preserve">. При среднем и низком уровне </w:t>
      </w:r>
      <w:r>
        <w:rPr>
          <w:rFonts w:ascii="Times New Roman" w:hAnsi="Times New Roman" w:eastAsia="Times New Roman"/>
          <w:highlight w:val="white"/>
          <w:color w:val="000000"/>
          <w:spacing w:val="6" spc="55"/>
          <w:sz w:val="24"/>
          <w:szCs w:val="24"/>
          <w:lang w:eastAsia="ru-ru" w:bidi="ru-ru"/>
        </w:rPr>
        <w:t>«Денег как статуса» и «Поклонения деньгам» наблюдается</w:t>
      </w:r>
      <w:r>
        <w:rPr>
          <w:rFonts w:ascii="Times New Roman" w:hAnsi="Times New Roman" w:eastAsia="Times New Roman"/>
          <w:color w:val="000000"/>
          <w:spacing w:val="6" spc="55"/>
          <w:sz w:val="24"/>
          <w:szCs w:val="24"/>
          <w:lang w:eastAsia="ru-ru" w:bidi="ru-ru"/>
        </w:rPr>
        <w:t xml:space="preserve"> рассудительное и планомерное монетарное поведение. При высоком уровне </w:t>
      </w:r>
      <w:r>
        <w:rPr>
          <w:rFonts w:ascii="Times New Roman" w:hAnsi="Times New Roman" w:eastAsia="Times New Roman"/>
          <w:highlight w:val="white"/>
          <w:color w:val="000000"/>
          <w:spacing w:val="6" spc="55"/>
          <w:sz w:val="24"/>
          <w:szCs w:val="24"/>
          <w:lang w:eastAsia="ru-ru" w:bidi="ru-ru"/>
        </w:rPr>
        <w:t>«Обеспокоенности деньгами»</w:t>
      </w:r>
      <w:r>
        <w:rPr>
          <w:rFonts w:ascii="Times New Roman" w:hAnsi="Times New Roman" w:eastAsia="Times New Roman"/>
          <w:color w:val="000000"/>
          <w:spacing w:val="6" spc="55"/>
          <w:sz w:val="24"/>
          <w:szCs w:val="24"/>
          <w:lang w:eastAsia="ru-ru" w:bidi="ru-ru"/>
        </w:rPr>
        <w:t xml:space="preserve"> обнаруживается неготовность вступать во взаимодействие с финансовыми институтами и нежелание рассказывать о своем материальном положении</w:t>
      </w:r>
      <w:r>
        <w:rPr>
          <w:rFonts w:ascii="Times New Roman" w:hAnsi="Times New Roman" w:eastAsia="Times New Roman"/>
          <w:highlight w:val="white"/>
          <w:color w:val="000000"/>
          <w:spacing w:val="6" spc="55"/>
          <w:sz w:val="24"/>
          <w:szCs w:val="24"/>
          <w:lang w:eastAsia="ru-ru" w:bidi="ru-ru"/>
        </w:rPr>
        <w:t>, противоположные тенденции выявлены при низком уровне «Обеспокоенности деньгами».</w:t>
      </w:r>
      <w:r>
        <w:rPr>
          <w:rFonts w:ascii="Times New Roman" w:hAnsi="Times New Roman" w:eastAsia="Times New Roman"/>
          <w:color w:val="000000"/>
          <w:spacing w:val="6" spc="55"/>
          <w:sz w:val="24"/>
          <w:szCs w:val="24"/>
          <w:lang w:eastAsia="ru-ru" w:bidi="ru-ru"/>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Эмоциональный компонент монетарных отношений характеризует положительное отношение к деньгам у студентов, соотносящих деньги со статусным положением в обществе, у студентов с низким уровнем «Избегания денег», с высоким уровнем «Денег как статуса», высоким уровнем «Поклонения деньгам» и низким уровнем «Обеспокоенности деньгами». Отрицательное отношение к деньгам у студентов, с высоким уровнем «Избегания денег».</w:t>
      </w:r>
    </w:p>
    <w:p>
      <w:pPr>
        <w:ind w:firstLine="284"/>
        <w:spacing w:after="0" w:line="240" w:lineRule="auto"/>
        <w:jc w:val="both"/>
        <w:rPr>
          <w:rFonts w:ascii="Times New Roman" w:hAnsi="Times New Roman" w:eastAsia="Gungsuh"/>
          <w:color w:val="000000"/>
          <w:sz w:val="24"/>
          <w:szCs w:val="24"/>
        </w:rPr>
      </w:pPr>
      <w:r>
        <w:rPr>
          <w:rFonts w:ascii="Times New Roman" w:hAnsi="Times New Roman" w:eastAsia="Times New Roman"/>
          <w:color w:val="000000"/>
          <w:sz w:val="24"/>
          <w:szCs w:val="24"/>
        </w:rPr>
        <w:t xml:space="preserve">У студентов с высоким уровнем «Избегания денег» значимо выше расположены ценности твердой воли </w:t>
      </w:r>
      <w:r>
        <w:rPr>
          <w:rFonts w:ascii="Times New Roman" w:hAnsi="Times New Roman" w:eastAsia="Gungsuh"/>
          <w:color w:val="000000"/>
          <w:sz w:val="24"/>
          <w:szCs w:val="24"/>
        </w:rPr>
        <w:t>(21; p</w:t>
      </w:r>
      <w:r>
        <w:rPr>
          <w:rFonts w:ascii="Times New Roman" w:hAnsi="Times New Roman" w:eastAsia="Gungsuh"/>
          <w:color w:val="000000"/>
          <w:sz w:val="24"/>
          <w:szCs w:val="24"/>
        </w:rPr>
        <w:t> </w:t>
      </w:r>
      <w:r>
        <w:rPr>
          <w:rFonts w:ascii="Times New Roman" w:hAnsi="Times New Roman" w:eastAsia="Gungsuh"/>
          <w:color w:val="000000"/>
          <w:sz w:val="24"/>
          <w:szCs w:val="24"/>
        </w:rPr>
        <w:t>≤ 0,01), смелости в отстаивании своего мнения (112,5; p</w:t>
      </w:r>
      <w:r>
        <w:rPr>
          <w:rFonts w:ascii="Times New Roman" w:hAnsi="Times New Roman" w:eastAsia="Gungsuh"/>
          <w:color w:val="000000"/>
          <w:sz w:val="24"/>
          <w:szCs w:val="24"/>
        </w:rPr>
        <w:t> </w:t>
      </w:r>
      <w:r>
        <w:rPr>
          <w:rFonts w:ascii="Times New Roman" w:hAnsi="Times New Roman" w:eastAsia="Gungsuh"/>
          <w:color w:val="000000"/>
          <w:sz w:val="24"/>
          <w:szCs w:val="24"/>
        </w:rPr>
        <w:t>≤ 0,05),</w:t>
      </w:r>
      <w:r>
        <w:rPr>
          <w:rFonts w:ascii="Times New Roman" w:hAnsi="Times New Roman" w:eastAsia="Gungsuh"/>
          <w:color w:val="000000"/>
          <w:sz w:val="24"/>
          <w:szCs w:val="24"/>
        </w:rPr>
        <w:t xml:space="preserve"> </w:t>
      </w:r>
      <w:r>
        <w:rPr>
          <w:rFonts w:ascii="Times New Roman" w:hAnsi="Times New Roman" w:eastAsia="Times New Roman"/>
          <w:color w:val="000000"/>
          <w:sz w:val="24"/>
          <w:szCs w:val="24"/>
        </w:rPr>
        <w:t xml:space="preserve">развития </w:t>
      </w:r>
      <w:r>
        <w:rPr>
          <w:rFonts w:ascii="Times New Roman" w:hAnsi="Times New Roman" w:eastAsia="Gungsuh"/>
          <w:color w:val="000000"/>
          <w:sz w:val="24"/>
          <w:szCs w:val="24"/>
        </w:rPr>
        <w:t>(17,5; p</w:t>
      </w:r>
      <w:r>
        <w:rPr>
          <w:rFonts w:ascii="Times New Roman" w:hAnsi="Times New Roman" w:eastAsia="Gungsuh"/>
          <w:color w:val="000000"/>
          <w:sz w:val="24"/>
          <w:szCs w:val="24"/>
        </w:rPr>
        <w:t> </w:t>
      </w:r>
      <w:r>
        <w:rPr>
          <w:rFonts w:ascii="Times New Roman" w:hAnsi="Times New Roman" w:eastAsia="Gungsuh"/>
          <w:color w:val="000000"/>
          <w:sz w:val="24"/>
          <w:szCs w:val="24"/>
        </w:rPr>
        <w:t>≤ 0,01), творчества (33; p</w:t>
      </w:r>
      <w:r>
        <w:rPr>
          <w:rFonts w:ascii="Times New Roman" w:hAnsi="Times New Roman" w:eastAsia="Gungsuh"/>
          <w:color w:val="000000"/>
          <w:sz w:val="24"/>
          <w:szCs w:val="24"/>
        </w:rPr>
        <w:t> </w:t>
      </w:r>
      <w:r>
        <w:rPr>
          <w:rFonts w:ascii="Times New Roman" w:hAnsi="Times New Roman" w:eastAsia="Gungsuh"/>
          <w:color w:val="000000"/>
          <w:sz w:val="24"/>
          <w:szCs w:val="24"/>
        </w:rPr>
        <w:t>≤ 0,01) и познания (75; p</w:t>
      </w:r>
      <w:r>
        <w:rPr>
          <w:rFonts w:ascii="Times New Roman" w:hAnsi="Times New Roman" w:eastAsia="Gungsuh"/>
          <w:color w:val="000000"/>
          <w:sz w:val="24"/>
          <w:szCs w:val="24"/>
        </w:rPr>
        <w:t> </w:t>
      </w:r>
      <w:r>
        <w:rPr>
          <w:rFonts w:ascii="Times New Roman" w:hAnsi="Times New Roman" w:eastAsia="Gungsuh"/>
          <w:color w:val="000000"/>
          <w:sz w:val="24"/>
          <w:szCs w:val="24"/>
        </w:rPr>
        <w:t>≤ 0,05)</w:t>
      </w:r>
      <w:r>
        <w:rPr>
          <w:rFonts w:ascii="Times New Roman" w:hAnsi="Times New Roman" w:eastAsia="Times New Roman"/>
          <w:color w:val="000000"/>
          <w:sz w:val="24"/>
          <w:szCs w:val="24"/>
        </w:rPr>
        <w:t xml:space="preserve">, а ниже — материально обеспеченной жизни </w:t>
      </w:r>
      <w:r>
        <w:rPr>
          <w:rFonts w:ascii="Times New Roman" w:hAnsi="Times New Roman" w:eastAsia="Gungsuh"/>
          <w:color w:val="000000"/>
          <w:sz w:val="24"/>
          <w:szCs w:val="24"/>
        </w:rPr>
        <w:t>(64; p</w:t>
      </w:r>
      <w:r>
        <w:rPr>
          <w:rFonts w:ascii="Times New Roman" w:hAnsi="Times New Roman" w:eastAsia="Gungsuh"/>
          <w:color w:val="000000"/>
          <w:sz w:val="24"/>
          <w:szCs w:val="24"/>
        </w:rPr>
        <w:t> </w:t>
      </w:r>
      <w:r>
        <w:rPr>
          <w:rFonts w:ascii="Times New Roman" w:hAnsi="Times New Roman" w:eastAsia="Gungsuh"/>
          <w:color w:val="000000"/>
          <w:sz w:val="24"/>
          <w:szCs w:val="24"/>
        </w:rPr>
        <w:t>≤ 0,01)</w:t>
      </w:r>
      <w:r>
        <w:rPr>
          <w:rFonts w:ascii="Times New Roman" w:hAnsi="Times New Roman" w:eastAsia="Times New Roman"/>
          <w:color w:val="000000"/>
          <w:sz w:val="24"/>
          <w:szCs w:val="24"/>
        </w:rPr>
        <w:t xml:space="preserve">. У студентов с низким уровнем «Избегания денег» значимо выше положение ценностей материально обеспеченной жизни </w:t>
      </w:r>
      <w:r>
        <w:rPr>
          <w:rFonts w:ascii="Times New Roman" w:hAnsi="Times New Roman" w:eastAsia="Gungsuh"/>
          <w:color w:val="000000"/>
          <w:sz w:val="24"/>
          <w:szCs w:val="24"/>
        </w:rPr>
        <w:t>(45; p</w:t>
      </w:r>
      <w:r>
        <w:rPr>
          <w:rFonts w:ascii="Times New Roman" w:hAnsi="Times New Roman" w:eastAsia="Gungsuh"/>
          <w:color w:val="000000"/>
          <w:sz w:val="24"/>
          <w:szCs w:val="24"/>
        </w:rPr>
        <w:t> </w:t>
      </w:r>
      <w:r>
        <w:rPr>
          <w:rFonts w:ascii="Times New Roman" w:hAnsi="Times New Roman" w:eastAsia="Gungsuh"/>
          <w:color w:val="000000"/>
          <w:sz w:val="24"/>
          <w:szCs w:val="24"/>
        </w:rPr>
        <w:t>≤ 0,01), жизненной мудрости (61,5; p</w:t>
      </w:r>
      <w:r>
        <w:rPr>
          <w:rFonts w:ascii="Times New Roman" w:hAnsi="Times New Roman" w:eastAsia="Gungsuh"/>
          <w:color w:val="000000"/>
          <w:sz w:val="24"/>
          <w:szCs w:val="24"/>
        </w:rPr>
        <w:t> </w:t>
      </w:r>
      <w:r>
        <w:rPr>
          <w:rFonts w:ascii="Times New Roman" w:hAnsi="Times New Roman" w:eastAsia="Gungsuh"/>
          <w:color w:val="000000"/>
          <w:sz w:val="24"/>
          <w:szCs w:val="24"/>
        </w:rPr>
        <w:t>≤ 0,01) и интересной работы (73; p</w:t>
      </w:r>
      <w:r>
        <w:rPr>
          <w:rFonts w:ascii="Times New Roman" w:hAnsi="Times New Roman" w:eastAsia="Gungsuh"/>
          <w:color w:val="000000"/>
          <w:sz w:val="24"/>
          <w:szCs w:val="24"/>
        </w:rPr>
        <w:t> </w:t>
      </w:r>
      <w:r>
        <w:rPr>
          <w:rFonts w:ascii="Times New Roman" w:hAnsi="Times New Roman" w:eastAsia="Gungsuh"/>
          <w:color w:val="000000"/>
          <w:sz w:val="24"/>
          <w:szCs w:val="24"/>
        </w:rPr>
        <w:t>≤ 0,05).</w:t>
      </w:r>
      <w:r>
        <w:rPr>
          <w:rFonts w:ascii="Times New Roman" w:hAnsi="Times New Roman" w:eastAsia="Gungsuh"/>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 xml:space="preserve">У студентов с высоким уровнем «Денег как статуса» на более высоких позициях в иерархии ценностей, чем у студентов со средним, находится материально обеспеченная жизнь </w:t>
      </w:r>
      <w:r>
        <w:rPr>
          <w:rFonts w:ascii="Times New Roman" w:hAnsi="Times New Roman" w:eastAsia="Gungsuh"/>
          <w:color w:val="000000"/>
          <w:sz w:val="24"/>
          <w:szCs w:val="24"/>
        </w:rPr>
        <w:t>(41; p ≤ 0,01)</w:t>
      </w:r>
      <w:r>
        <w:rPr>
          <w:rFonts w:ascii="Times New Roman" w:hAnsi="Times New Roman" w:eastAsia="Times New Roman"/>
          <w:highlight w:val="white"/>
          <w:color w:val="000000"/>
          <w:sz w:val="24"/>
          <w:szCs w:val="24"/>
        </w:rPr>
        <w:t xml:space="preserve">, </w:t>
      </w:r>
      <w:r>
        <w:rPr>
          <w:rFonts w:ascii="Times New Roman" w:hAnsi="Times New Roman" w:eastAsia="Gungsuh"/>
          <w:color w:val="000000"/>
          <w:sz w:val="24"/>
          <w:szCs w:val="24"/>
        </w:rPr>
        <w:t xml:space="preserve">на более низких позициях — активная деятельностная жизнь (35; p ≤ 0,01), независимость (60; </w:t>
      </w:r>
      <w:r>
        <w:rPr>
          <w:rFonts w:ascii="Times New Roman" w:hAnsi="Times New Roman" w:eastAsia="Gungsuh"/>
          <w:highlight w:val="white"/>
          <w:color w:val="000000"/>
          <w:sz w:val="24"/>
          <w:szCs w:val="24"/>
        </w:rPr>
        <w:t>p ≤ 0,01) и жизнерадостность (56,5; p ≤ 0,01)</w:t>
      </w:r>
      <w:r>
        <w:rPr>
          <w:rFonts w:ascii="Times New Roman" w:hAnsi="Times New Roman" w:eastAsia="Gungsuh"/>
          <w:color w:val="000000"/>
          <w:sz w:val="24"/>
          <w:szCs w:val="24"/>
        </w:rPr>
        <w:t xml:space="preserve">. Студенты, чьи оценки по шкале «Деньги как статус» были ниже средних значений, более высоко ценят жизненную мудрость (79; p ≤ 0,05) и познание (82; p ≤ 0,05). </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bookmarkStart w:id="18" w:name="_70vuxuynv53x"/>
      <w:r/>
      <w:bookmarkEnd w:id="18"/>
      <w:r/>
      <w:r>
        <w:rPr>
          <w:rFonts w:ascii="Times New Roman" w:hAnsi="Times New Roman" w:eastAsia="Times New Roman"/>
          <w:color w:val="000000"/>
          <w:sz w:val="24"/>
          <w:szCs w:val="24"/>
        </w:rPr>
        <w:t>Студенты с высоким уровнем «Поклонения деньгам» значимо чаще ставят на высокие</w:t>
      </w:r>
      <w:r>
        <w:rPr>
          <w:rFonts w:ascii="Times New Roman" w:hAnsi="Times New Roman" w:eastAsia="Times New Roman"/>
          <w:color w:val="000000"/>
          <w:sz w:val="24"/>
          <w:szCs w:val="24"/>
        </w:rPr>
        <w:t xml:space="preserve"> </w:t>
      </w:r>
      <w:r>
        <w:rPr>
          <w:rFonts w:ascii="Times New Roman" w:hAnsi="Times New Roman" w:eastAsia="Times New Roman"/>
          <w:color w:val="000000"/>
          <w:sz w:val="24"/>
          <w:szCs w:val="24"/>
        </w:rPr>
        <w:t xml:space="preserve">позиции ценности материально обеспеченной жизни </w:t>
      </w:r>
      <w:r>
        <w:rPr>
          <w:rFonts w:ascii="Times New Roman" w:hAnsi="Times New Roman" w:eastAsia="Gungsuh"/>
          <w:color w:val="000000"/>
          <w:sz w:val="24"/>
          <w:szCs w:val="24"/>
        </w:rPr>
        <w:t>(31; p</w:t>
      </w:r>
      <w:r>
        <w:rPr>
          <w:rFonts w:ascii="Times New Roman" w:hAnsi="Times New Roman" w:eastAsia="Gungsuh"/>
          <w:color w:val="000000"/>
          <w:sz w:val="24"/>
          <w:szCs w:val="24"/>
        </w:rPr>
        <w:t> </w:t>
      </w:r>
      <w:r>
        <w:rPr>
          <w:rFonts w:ascii="Times New Roman" w:hAnsi="Times New Roman" w:eastAsia="Gungsuh"/>
          <w:color w:val="000000"/>
          <w:sz w:val="24"/>
          <w:szCs w:val="24"/>
        </w:rPr>
        <w:t>≤</w:t>
      </w:r>
      <w:r>
        <w:rPr>
          <w:rFonts w:ascii="Times New Roman" w:hAnsi="Times New Roman" w:eastAsia="Gungsuh"/>
          <w:color w:val="000000"/>
          <w:sz w:val="24"/>
          <w:szCs w:val="24"/>
        </w:rPr>
        <w:t> </w:t>
      </w:r>
      <w:r>
        <w:rPr>
          <w:rFonts w:ascii="Times New Roman" w:hAnsi="Times New Roman" w:eastAsia="Gungsuh"/>
          <w:color w:val="000000"/>
          <w:sz w:val="24"/>
          <w:szCs w:val="24"/>
        </w:rPr>
        <w:t xml:space="preserve">0,01) и уверенности в себе (73; </w:t>
      </w:r>
      <w:r>
        <w:rPr>
          <w:rFonts w:ascii="Times New Roman" w:hAnsi="Times New Roman" w:eastAsia="Gungsuh"/>
          <w:color w:val="000000"/>
          <w:sz w:val="24"/>
          <w:szCs w:val="24"/>
        </w:rPr>
        <w:t>p</w:t>
      </w:r>
      <w:r>
        <w:rPr>
          <w:rFonts w:ascii="Times New Roman" w:hAnsi="Times New Roman" w:eastAsia="Gungsuh"/>
          <w:color w:val="000000"/>
          <w:sz w:val="24"/>
          <w:szCs w:val="24"/>
        </w:rPr>
        <w:t> </w:t>
      </w:r>
      <w:r>
        <w:rPr>
          <w:rFonts w:ascii="Times New Roman" w:hAnsi="Times New Roman" w:eastAsia="Gungsuh"/>
          <w:color w:val="000000"/>
          <w:sz w:val="24"/>
          <w:szCs w:val="24"/>
        </w:rPr>
        <w:t>≤</w:t>
      </w:r>
      <w:r>
        <w:rPr>
          <w:rFonts w:ascii="Times New Roman" w:hAnsi="Times New Roman" w:eastAsia="Gungsuh"/>
          <w:color w:val="000000"/>
          <w:sz w:val="24"/>
          <w:szCs w:val="24"/>
        </w:rPr>
        <w:t> </w:t>
      </w:r>
      <w:r>
        <w:rPr>
          <w:rFonts w:ascii="Times New Roman" w:hAnsi="Times New Roman" w:eastAsia="Gungsuh"/>
          <w:color w:val="000000"/>
          <w:sz w:val="24"/>
          <w:szCs w:val="24"/>
        </w:rPr>
        <w:t>0,01)</w:t>
      </w:r>
      <w:r>
        <w:rPr>
          <w:rFonts w:ascii="Times New Roman" w:hAnsi="Times New Roman" w:eastAsia="Times New Roman"/>
          <w:color w:val="000000"/>
          <w:sz w:val="24"/>
          <w:szCs w:val="24"/>
        </w:rPr>
        <w:t>, а на более низкие —</w:t>
      </w:r>
      <w:r>
        <w:rPr>
          <w:rFonts w:ascii="Times New Roman" w:hAnsi="Times New Roman" w:eastAsia="Times New Roman"/>
          <w:color w:val="000000"/>
          <w:sz w:val="24"/>
          <w:szCs w:val="24"/>
        </w:rPr>
        <w:t xml:space="preserve"> ценности счастливой семейной жизни </w:t>
      </w:r>
      <w:r>
        <w:rPr>
          <w:rFonts w:ascii="Times New Roman" w:hAnsi="Times New Roman" w:eastAsia="Gungsuh"/>
          <w:color w:val="000000"/>
          <w:sz w:val="24"/>
          <w:szCs w:val="24"/>
        </w:rPr>
        <w:t>(28; p</w:t>
      </w:r>
      <w:r>
        <w:rPr>
          <w:rFonts w:ascii="Times New Roman" w:hAnsi="Times New Roman" w:eastAsia="Gungsuh"/>
          <w:color w:val="000000"/>
          <w:sz w:val="24"/>
          <w:szCs w:val="24"/>
        </w:rPr>
        <w:t> </w:t>
      </w:r>
      <w:r>
        <w:rPr>
          <w:rFonts w:ascii="Times New Roman" w:hAnsi="Times New Roman" w:eastAsia="Gungsuh"/>
          <w:color w:val="000000"/>
          <w:sz w:val="24"/>
          <w:szCs w:val="24"/>
        </w:rPr>
        <w:t>≤</w:t>
      </w:r>
      <w:r>
        <w:rPr>
          <w:rFonts w:ascii="Times New Roman" w:hAnsi="Times New Roman" w:eastAsia="Gungsuh"/>
          <w:color w:val="000000"/>
          <w:sz w:val="24"/>
          <w:szCs w:val="24"/>
        </w:rPr>
        <w:t> </w:t>
      </w:r>
      <w:r>
        <w:rPr>
          <w:rFonts w:ascii="Times New Roman" w:hAnsi="Times New Roman" w:eastAsia="Gungsuh"/>
          <w:color w:val="000000"/>
          <w:sz w:val="24"/>
          <w:szCs w:val="24"/>
        </w:rPr>
        <w:t>0,01)</w:t>
      </w:r>
      <w:r>
        <w:rPr>
          <w:rFonts w:ascii="Times New Roman" w:hAnsi="Times New Roman" w:eastAsia="Times New Roman"/>
          <w:color w:val="000000"/>
          <w:sz w:val="24"/>
          <w:szCs w:val="24"/>
        </w:rPr>
        <w:t xml:space="preserve"> и воспитанности (</w:t>
      </w:r>
      <w:r>
        <w:rPr>
          <w:rFonts w:ascii="Times New Roman" w:hAnsi="Times New Roman" w:eastAsia="Gungsuh"/>
          <w:color w:val="000000"/>
          <w:sz w:val="24"/>
          <w:szCs w:val="24"/>
        </w:rPr>
        <w:t>40; p</w:t>
      </w:r>
      <w:r>
        <w:rPr>
          <w:rFonts w:ascii="Times New Roman" w:hAnsi="Times New Roman" w:eastAsia="Gungsuh"/>
          <w:color w:val="000000"/>
          <w:sz w:val="24"/>
          <w:szCs w:val="24"/>
        </w:rPr>
        <w:t> </w:t>
      </w:r>
      <w:r>
        <w:rPr>
          <w:rFonts w:ascii="Times New Roman" w:hAnsi="Times New Roman" w:eastAsia="Gungsuh"/>
          <w:color w:val="000000"/>
          <w:sz w:val="24"/>
          <w:szCs w:val="24"/>
        </w:rPr>
        <w:t>≤ 0,01).</w:t>
      </w:r>
      <w:r>
        <w:rPr>
          <w:rFonts w:ascii="Times New Roman" w:hAnsi="Times New Roman" w:eastAsia="Times New Roman"/>
          <w:color w:val="000000"/>
          <w:sz w:val="24"/>
          <w:szCs w:val="24"/>
        </w:rPr>
        <w:t xml:space="preserve"> У студентов с низким уровнем «Поклонения деньгам» более высокие места в иерархии занимают счастливая семейная жизнь </w:t>
      </w:r>
      <w:r>
        <w:rPr>
          <w:rFonts w:ascii="Times New Roman" w:hAnsi="Times New Roman" w:eastAsia="Gungsuh"/>
          <w:color w:val="000000"/>
          <w:sz w:val="24"/>
          <w:szCs w:val="24"/>
        </w:rPr>
        <w:t>(97; p</w:t>
      </w:r>
      <w:r>
        <w:rPr>
          <w:rFonts w:ascii="Times New Roman" w:hAnsi="Times New Roman" w:eastAsia="Gungsuh"/>
          <w:color w:val="000000"/>
          <w:sz w:val="24"/>
          <w:szCs w:val="24"/>
        </w:rPr>
        <w:t> </w:t>
      </w:r>
      <w:r>
        <w:rPr>
          <w:rFonts w:ascii="Times New Roman" w:hAnsi="Times New Roman" w:eastAsia="Gungsuh"/>
          <w:color w:val="000000"/>
          <w:sz w:val="24"/>
          <w:szCs w:val="24"/>
        </w:rPr>
        <w:t>≤</w:t>
      </w:r>
      <w:r>
        <w:rPr>
          <w:rFonts w:ascii="Times New Roman" w:hAnsi="Times New Roman" w:eastAsia="Gungsuh"/>
          <w:color w:val="000000"/>
          <w:sz w:val="24"/>
          <w:szCs w:val="24"/>
        </w:rPr>
        <w:t> </w:t>
      </w:r>
      <w:r>
        <w:rPr>
          <w:rFonts w:ascii="Times New Roman" w:hAnsi="Times New Roman" w:eastAsia="Gungsuh"/>
          <w:color w:val="000000"/>
          <w:sz w:val="24"/>
          <w:szCs w:val="24"/>
        </w:rPr>
        <w:t>0,01) и жизненная мудрость (119; p</w:t>
      </w:r>
      <w:r>
        <w:rPr>
          <w:rFonts w:ascii="Times New Roman" w:hAnsi="Times New Roman" w:eastAsia="Gungsuh"/>
          <w:color w:val="000000"/>
          <w:sz w:val="24"/>
          <w:szCs w:val="24"/>
        </w:rPr>
        <w:t> </w:t>
      </w:r>
      <w:r>
        <w:rPr>
          <w:rFonts w:ascii="Times New Roman" w:hAnsi="Times New Roman" w:eastAsia="Gungsuh"/>
          <w:color w:val="000000"/>
          <w:sz w:val="24"/>
          <w:szCs w:val="24"/>
        </w:rPr>
        <w:t xml:space="preserve">≤ 0,05), более низкие </w:t>
      </w:r>
      <w:r>
        <w:rPr>
          <w:rFonts w:ascii="Times New Roman" w:hAnsi="Times New Roman" w:eastAsia="Gungsuh"/>
          <w:color w:val="000000"/>
          <w:sz w:val="24"/>
          <w:szCs w:val="24"/>
        </w:rPr>
        <w:t xml:space="preserve">— </w:t>
      </w:r>
      <w:r>
        <w:rPr>
          <w:rFonts w:ascii="Times New Roman" w:hAnsi="Times New Roman" w:eastAsia="Gungsuh"/>
          <w:color w:val="000000"/>
          <w:sz w:val="24"/>
          <w:szCs w:val="24"/>
        </w:rPr>
        <w:t>материально обеспеченная жизнь (44; p</w:t>
      </w:r>
      <w:r>
        <w:rPr>
          <w:rFonts w:ascii="Times New Roman" w:hAnsi="Times New Roman" w:eastAsia="Gungsuh"/>
          <w:color w:val="000000"/>
          <w:sz w:val="24"/>
          <w:szCs w:val="24"/>
        </w:rPr>
        <w:t> </w:t>
      </w:r>
      <w:r>
        <w:rPr>
          <w:rFonts w:ascii="Times New Roman" w:hAnsi="Times New Roman" w:eastAsia="Gungsuh"/>
          <w:color w:val="000000"/>
          <w:sz w:val="24"/>
          <w:szCs w:val="24"/>
        </w:rPr>
        <w:t xml:space="preserve">≤ 0,01). </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bookmarkStart w:id="19" w:name="_ghqwzf5m55p7"/>
      <w:r/>
      <w:bookmarkEnd w:id="19"/>
      <w:r/>
      <w:r>
        <w:rPr>
          <w:rFonts w:ascii="Times New Roman" w:hAnsi="Times New Roman" w:eastAsia="Gungsuh"/>
          <w:color w:val="000000"/>
          <w:sz w:val="24"/>
          <w:szCs w:val="24"/>
        </w:rPr>
        <w:t>Студенты, получившие высокие оценки по шкале «Обеспокоенность деньгами»</w:t>
      </w:r>
      <w:r>
        <w:rPr>
          <w:rFonts w:ascii="Times New Roman" w:hAnsi="Times New Roman" w:eastAsia="Gungsuh"/>
          <w:color w:val="000000"/>
          <w:sz w:val="24"/>
          <w:szCs w:val="24"/>
        </w:rPr>
        <w:t>,</w:t>
      </w:r>
      <w:r>
        <w:rPr>
          <w:rFonts w:ascii="Times New Roman" w:hAnsi="Times New Roman" w:eastAsia="Gungsuh"/>
          <w:color w:val="000000"/>
          <w:sz w:val="24"/>
          <w:szCs w:val="24"/>
        </w:rPr>
        <w:t xml:space="preserve"> выше ставят ценность наличие друзей (68; p</w:t>
      </w:r>
      <w:r>
        <w:rPr>
          <w:rFonts w:ascii="Times New Roman" w:hAnsi="Times New Roman" w:eastAsia="Gungsuh"/>
          <w:color w:val="000000"/>
          <w:sz w:val="24"/>
          <w:szCs w:val="24"/>
        </w:rPr>
        <w:t> </w:t>
      </w:r>
      <w:r>
        <w:rPr>
          <w:rFonts w:ascii="Times New Roman" w:hAnsi="Times New Roman" w:eastAsia="Gungsuh"/>
          <w:color w:val="000000"/>
          <w:sz w:val="24"/>
          <w:szCs w:val="24"/>
        </w:rPr>
        <w:t>≤</w:t>
      </w:r>
      <w:r>
        <w:rPr>
          <w:rFonts w:ascii="Times New Roman" w:hAnsi="Times New Roman" w:eastAsia="Gungsuh"/>
          <w:color w:val="000000"/>
          <w:sz w:val="24"/>
          <w:szCs w:val="24"/>
        </w:rPr>
        <w:t> </w:t>
      </w:r>
      <w:r>
        <w:rPr>
          <w:rFonts w:ascii="Times New Roman" w:hAnsi="Times New Roman" w:eastAsia="Gungsuh"/>
          <w:color w:val="000000"/>
          <w:sz w:val="24"/>
          <w:szCs w:val="24"/>
        </w:rPr>
        <w:t>0,05) и самоконтроль (65; p</w:t>
      </w:r>
      <w:r>
        <w:rPr>
          <w:rFonts w:ascii="Times New Roman" w:hAnsi="Times New Roman" w:eastAsia="Gungsuh"/>
          <w:color w:val="000000"/>
          <w:sz w:val="24"/>
          <w:szCs w:val="24"/>
        </w:rPr>
        <w:t> ≤ 0,05), а ниже —</w:t>
      </w:r>
      <w:r>
        <w:rPr>
          <w:rFonts w:ascii="Times New Roman" w:hAnsi="Times New Roman" w:eastAsia="Gungsuh"/>
          <w:color w:val="000000"/>
          <w:sz w:val="24"/>
          <w:szCs w:val="24"/>
        </w:rPr>
        <w:t xml:space="preserve"> рационализм (64; p</w:t>
      </w:r>
      <w:r>
        <w:rPr>
          <w:rFonts w:ascii="Times New Roman" w:hAnsi="Times New Roman" w:eastAsia="Gungsuh"/>
          <w:color w:val="000000"/>
          <w:sz w:val="24"/>
          <w:szCs w:val="24"/>
        </w:rPr>
        <w:t> </w:t>
      </w:r>
      <w:r>
        <w:rPr>
          <w:rFonts w:ascii="Times New Roman" w:hAnsi="Times New Roman" w:eastAsia="Gungsuh"/>
          <w:color w:val="000000"/>
          <w:sz w:val="24"/>
          <w:szCs w:val="24"/>
        </w:rPr>
        <w:t>≤ 0,05).</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bookmarkStart w:id="20" w:name="_9fuva6wpo9cn"/>
      <w:r/>
      <w:bookmarkEnd w:id="20"/>
      <w:r/>
      <w:r>
        <w:rPr>
          <w:rFonts w:ascii="Times New Roman" w:hAnsi="Times New Roman" w:eastAsia="Times New Roman"/>
          <w:color w:val="000000"/>
          <w:sz w:val="24"/>
          <w:szCs w:val="24"/>
        </w:rPr>
        <w:t>В исследовании были обнаружены значимые корреляционные связи между уровнем «Поклонения деньгам» и положением ценностей материально обеспеченной (0,351; p</w:t>
      </w:r>
      <w:r>
        <w:rPr>
          <w:rFonts w:ascii="Times New Roman" w:hAnsi="Times New Roman" w:eastAsia="Times New Roman"/>
          <w:color w:val="000000"/>
          <w:sz w:val="24"/>
          <w:szCs w:val="24"/>
        </w:rPr>
        <w:t> </w:t>
      </w:r>
      <w:r>
        <w:rPr>
          <w:rFonts w:ascii="Times New Roman" w:hAnsi="Times New Roman" w:eastAsia="Gungsuh"/>
          <w:color w:val="000000"/>
          <w:sz w:val="24"/>
          <w:szCs w:val="24"/>
        </w:rPr>
        <w:t>≤</w:t>
      </w:r>
      <w:r>
        <w:rPr>
          <w:rFonts w:ascii="Times New Roman" w:hAnsi="Times New Roman" w:eastAsia="Cardo"/>
          <w:color w:val="000000"/>
          <w:sz w:val="24"/>
          <w:szCs w:val="24"/>
        </w:rPr>
        <w:t> </w:t>
      </w:r>
      <w:r>
        <w:rPr>
          <w:rFonts w:ascii="Times New Roman" w:hAnsi="Times New Roman" w:eastAsia="Times New Roman"/>
          <w:color w:val="000000"/>
          <w:sz w:val="24"/>
          <w:szCs w:val="24"/>
        </w:rPr>
        <w:t>0,05)</w:t>
      </w:r>
      <w:r>
        <w:rPr>
          <w:rFonts w:ascii="Times New Roman" w:hAnsi="Times New Roman" w:eastAsia="Times New Roman"/>
          <w:color w:val="000000"/>
          <w:sz w:val="24"/>
          <w:szCs w:val="24"/>
        </w:rPr>
        <w:t xml:space="preserve"> </w:t>
      </w:r>
      <w:r>
        <w:rPr>
          <w:rFonts w:ascii="Times New Roman" w:hAnsi="Times New Roman" w:eastAsia="Times New Roman"/>
          <w:color w:val="000000"/>
          <w:sz w:val="24"/>
          <w:szCs w:val="24"/>
        </w:rPr>
        <w:t>и счастливой семейной жизни (</w:t>
      </w:r>
      <w:r>
        <w:rPr>
          <w:rFonts w:ascii="Times New Roman" w:hAnsi="Times New Roman" w:eastAsia="Times New Roman"/>
          <w:color w:val="000000"/>
          <w:sz w:val="24"/>
          <w:szCs w:val="24"/>
        </w:rPr>
        <w:t>‒ </w:t>
      </w:r>
      <w:r>
        <w:rPr>
          <w:rFonts w:ascii="Times New Roman" w:hAnsi="Times New Roman" w:eastAsia="Times New Roman"/>
          <w:color w:val="000000"/>
          <w:sz w:val="24"/>
          <w:szCs w:val="24"/>
        </w:rPr>
        <w:t>0,525; p</w:t>
      </w:r>
      <w:r>
        <w:rPr>
          <w:rFonts w:ascii="Times New Roman" w:hAnsi="Times New Roman" w:eastAsia="Times New Roman"/>
          <w:color w:val="000000"/>
          <w:sz w:val="24"/>
          <w:szCs w:val="24"/>
        </w:rPr>
        <w:t> </w:t>
      </w:r>
      <w:r>
        <w:rPr>
          <w:rFonts w:ascii="Times New Roman" w:hAnsi="Times New Roman" w:eastAsia="Gungsuh"/>
          <w:color w:val="000000"/>
          <w:sz w:val="24"/>
          <w:szCs w:val="24"/>
        </w:rPr>
        <w:t>≤</w:t>
      </w:r>
      <w:r>
        <w:rPr>
          <w:rFonts w:ascii="Times New Roman" w:hAnsi="Times New Roman" w:eastAsia="EB Garamond"/>
          <w:highlight w:val="white"/>
          <w:color w:val="000000"/>
          <w:sz w:val="24"/>
          <w:szCs w:val="24"/>
        </w:rPr>
        <w:t> </w:t>
      </w:r>
      <w:r>
        <w:rPr>
          <w:rFonts w:ascii="Times New Roman" w:hAnsi="Times New Roman" w:eastAsia="EB Garamond"/>
          <w:highlight w:val="white"/>
          <w:color w:val="000000"/>
          <w:sz w:val="24"/>
          <w:szCs w:val="24"/>
        </w:rPr>
        <w:t>0,01)</w:t>
      </w:r>
      <w:r>
        <w:rPr>
          <w:rFonts w:ascii="Times New Roman" w:hAnsi="Times New Roman" w:eastAsia="EB Garamond"/>
          <w:color w:val="000000"/>
          <w:sz w:val="24"/>
          <w:szCs w:val="24"/>
        </w:rPr>
        <w:t>,</w:t>
      </w:r>
      <w:r>
        <w:rPr>
          <w:rFonts w:ascii="Times New Roman" w:hAnsi="Times New Roman" w:eastAsia="Times New Roman"/>
          <w:color w:val="000000"/>
          <w:sz w:val="24"/>
          <w:szCs w:val="24"/>
        </w:rPr>
        <w:t xml:space="preserve"> </w:t>
      </w:r>
      <w:r>
        <w:rPr>
          <w:rFonts w:ascii="Times New Roman" w:hAnsi="Times New Roman" w:eastAsia="Times New Roman"/>
          <w:color w:val="000000"/>
          <w:sz w:val="24"/>
          <w:szCs w:val="24"/>
        </w:rPr>
        <w:t>а также между уровнем «Денег как статуса» с ценностью материально обеспеченной жизни у студентов (0,526; p</w:t>
      </w:r>
      <w:r>
        <w:rPr>
          <w:rFonts w:ascii="Times New Roman" w:hAnsi="Times New Roman" w:eastAsia="Times New Roman"/>
          <w:color w:val="000000"/>
          <w:sz w:val="24"/>
          <w:szCs w:val="24"/>
        </w:rPr>
        <w:t> </w:t>
      </w:r>
      <w:r>
        <w:rPr>
          <w:rFonts w:ascii="Times New Roman" w:hAnsi="Times New Roman" w:eastAsia="Gungsuh"/>
          <w:color w:val="000000"/>
          <w:sz w:val="24"/>
          <w:szCs w:val="24"/>
        </w:rPr>
        <w:t>≤</w:t>
      </w:r>
      <w:r>
        <w:rPr>
          <w:rFonts w:ascii="Times New Roman" w:hAnsi="Times New Roman" w:eastAsia="EB Garamond"/>
          <w:color w:val="000000"/>
          <w:sz w:val="24"/>
          <w:szCs w:val="24"/>
        </w:rPr>
        <w:t> </w:t>
      </w:r>
      <w:r>
        <w:rPr>
          <w:rFonts w:ascii="Times New Roman" w:hAnsi="Times New Roman" w:eastAsia="Times New Roman"/>
          <w:color w:val="000000"/>
          <w:sz w:val="24"/>
          <w:szCs w:val="24"/>
        </w:rPr>
        <w:t>0,01). Значимых взаимосвязей монетарных отношений с какими-либо инструментальными ценностями обнаружено не было.</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bookmarkStart w:id="21" w:name="_3znysh7"/>
      <w:r/>
      <w:bookmarkStart w:id="22" w:name="_2et92p0"/>
      <w:r/>
      <w:bookmarkStart w:id="23" w:name="_tyjcwt"/>
      <w:r/>
      <w:bookmarkStart w:id="24" w:name="_jvvmpkbzv3y5"/>
      <w:r/>
      <w:bookmarkStart w:id="25" w:name="_4pwpnypo223f"/>
      <w:r/>
      <w:bookmarkEnd w:id="21"/>
      <w:r/>
      <w:bookmarkEnd w:id="22"/>
      <w:r/>
      <w:bookmarkEnd w:id="23"/>
      <w:r/>
      <w:bookmarkEnd w:id="24"/>
      <w:r/>
      <w:bookmarkEnd w:id="25"/>
      <w:r/>
      <w:r>
        <w:rPr>
          <w:rFonts w:ascii="Times New Roman" w:hAnsi="Times New Roman" w:eastAsia="Times New Roman"/>
          <w:color w:val="000000"/>
          <w:sz w:val="24"/>
          <w:szCs w:val="24"/>
        </w:rPr>
        <w:t>Таким образом, чем меньше студенты избегают денег, тем больше они связывают их со статусом, что может быть объяснено тем, что студенты с меньшим избеганием денег больше распоряжаются деньгами и принимают финансовые решения. Они чаще, чем другие молодые люди</w:t>
      </w:r>
      <w:r>
        <w:rPr>
          <w:rFonts w:ascii="Times New Roman" w:hAnsi="Times New Roman" w:eastAsia="Times New Roman"/>
          <w:color w:val="000000"/>
          <w:sz w:val="24"/>
          <w:szCs w:val="24"/>
        </w:rPr>
        <w:t>,</w:t>
      </w:r>
      <w:r>
        <w:rPr>
          <w:rFonts w:ascii="Times New Roman" w:hAnsi="Times New Roman" w:eastAsia="Times New Roman"/>
          <w:color w:val="000000"/>
          <w:sz w:val="24"/>
          <w:szCs w:val="24"/>
        </w:rPr>
        <w:t xml:space="preserve"> взаимодействуют с деньгами и делают это с готовностью. Такие люди задумываются о желаемом финансовом положении и могут обращать внимание на тех, кто уже достиг и занимает это положение. Их часто можно заметить именно по внешним проявлениям экономического статуса, как самому очевидному критерию. Поэтому студенты, не избегающие денег, чаще связывают статус с дорогими покупками и предметами роскоши. В то время как студенты, избегающие денег, не только отказываются от принятия финансовых решений, но и вообще часто избегают тратить деньги даже на достаточно необходимые вещи. Для таких людей будет крайне нехарактерно соотнесение денег со статусным положением, потому что для них покупки и вложения только закрывают основные потребности.</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pacing w:val="-6" spc="45"/>
          <w:sz w:val="24"/>
          <w:szCs w:val="24"/>
          <w:lang w:eastAsia="ru-ru" w:bidi="ru-ru"/>
        </w:rPr>
      </w:pPr>
      <w:r>
        <w:rPr>
          <w:rFonts w:ascii="Times New Roman" w:hAnsi="Times New Roman" w:eastAsia="Times New Roman"/>
          <w:color w:val="000000"/>
          <w:spacing w:val="-6" spc="45"/>
          <w:sz w:val="24"/>
          <w:szCs w:val="24"/>
          <w:lang w:eastAsia="ru-ru" w:bidi="ru-ru"/>
        </w:rPr>
        <w:t xml:space="preserve">Найдена и другая взаимосвязь: чем больше для студентов деньги являются способом проявить свой статус, тем чаще они считают их универсальным способом решения проблем и верным путем к свободе и счастью. Возможно, для студентов в целом высокое социально-экономическое положение само по себе отождествляется с независимостью, ведь в этом возрасте многие окончательно отделяются от родителей и начинают искать или добиваться своего места в общественной иерархии, поэтому достаточно высокое положение в обществе для них может быть связано с окончательным отделением от семьи и собственной стабильностью. </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При этом интересно отметить, что для студентов, связывающих деньги со статусом, характерно такое монетарное поведение, как трата, тогда как для людей, «поклоняющихся» деньгам, характерно накопительство. Судя по полученным данным, в студенческом возрасте данные тенденции часто совмещаются у одних и тех же людей.</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Студенты, избегающие финансовых вопросов и трат, часто имеют сложности, связанные с деньгами, испытывают негативные эмоции по их поводу, что подтверждается для данной группы и в результатах по цветовому тесту отношений, и в результатах ассоциативного эксперимента. Эти люди беспокоятся о своих финансах. При этом многие студенты данной группы ассоциируют деньги с родителями. Так как в целом люди с высоким избеганием денег — это те, кто уклоняется от обязанностей решать финансовые вопросы, логично предположить, что для них одним из основных источников денежных средств являются родители, они же помогают решать возникающие финансовые проблемы. С этим может быть связано и ассоциирование денег с властью. Так как они пока в основном не занимаются финансовыми вопросами, люди, которые решают эти вопросы, для них авторитет, они видят, как эти люди влияют на их жизнь.</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Что касается ценностной системы студентов, избегающих денег, они ориентированы на себя и видят своей целью улучшение своих актуальных навыков, создание чего-то нового и овладение новой информацией, а путь к этой цели для них связан с отстаиванием себя и своего мнения и твердостью воли. Финансовый достаток для них не входит в самое значимое для жизни. Возможно, это студенты, занимающие иждивенческую позицию и посвящающие себя в основном учебе и какой-либо творческой деятельности, не имея цели получить от нее доход. В таком случае можно говорить о том, что для них приоритетом выступает их актуальная деятельность, которая на данный момент не подразумевает решения финансовых вопросов или подразумевает их в незначительной степени.</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У студентов, которые не стремятся избегать денег, напротив, наблюдается готовность их использовать и тратить. Если большинство студентов в основном видят такие формы получения денег как зарплата или стипендия, то данная группа чаще других вспоминает об альтернативных способах заработка, таких как вклады и инвестиции. Концентрируясь на деньгах, люди из данной группы думают, что их можно приумножить. Эмоциональный компонент монетарных отношений данной группы характеризуется позитивным эмоциональным фоном, у них деньги связаны с положительными эмоциями.</w:t>
      </w:r>
    </w:p>
    <w:p>
      <w:pPr>
        <w:ind w:firstLine="284"/>
        <w:spacing w:after="0" w:line="240" w:lineRule="auto"/>
        <w:jc w:val="both"/>
        <w:rPr>
          <w:rFonts w:ascii="Times New Roman" w:hAnsi="Times New Roman" w:eastAsia="Times New Roman"/>
          <w:color w:val="000000"/>
          <w:spacing w:val="-6" spc="45"/>
          <w:sz w:val="24"/>
          <w:szCs w:val="24"/>
          <w:lang w:eastAsia="ru-ru" w:bidi="ru-ru"/>
        </w:rPr>
      </w:pPr>
      <w:r>
        <w:rPr>
          <w:rFonts w:ascii="Times New Roman" w:hAnsi="Times New Roman" w:eastAsia="Times New Roman"/>
          <w:color w:val="000000"/>
          <w:spacing w:val="-6" spc="45"/>
          <w:sz w:val="24"/>
          <w:szCs w:val="24"/>
          <w:lang w:eastAsia="ru-ru" w:bidi="ru-ru"/>
        </w:rPr>
        <w:t>Для студентов, не стремящихся избегать участия в финансовых сделках, материальная сфера жизни является достаточно значимой. Это согласуется с тем, что они активно взаимодействуют с деньгами и с миром материальных вещей в целом, поэтому и возрастает значимость этих вещей. Также они более высокую ценность придают интересной работе. Вероятно, среди этих студентов много уже попробовавших себя в трудовой деятельности, имеющих подработку, и выпускников, готовящихся к полноценной трудовой деятельности. Об этом косвенно говорит и существенное количество людей 22—24 лет в данной группе. Они не только считают важным зарабатывать достаточное количество денег, но и хотят сделать это на увлекательной для них должности, чтобы сам процесс тоже приносил им удовлетворение.</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 xml:space="preserve">То, насколько студенты склонны к накопительству денег и представлению о них, как о способе решения проблем, взаимосвязано с положением в их иерархиях таких ценностей, как материально обеспеченная жизнь и счастливая семейная жизнь. Чем больше деньги представляются универсальным способом справляться с трудностями, тем большее значение приобретает материальная сфера жизни и тем менее значимы семейные отношения. Студенты с такими представлениями считают важным обеспечить себя материально и ни в чем не испытывать нужды, тогда как у большинства других студентов материально обеспеченная жизнь размещена на гораздо более низких ступенях в иерархии ценностей. </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Для них одним из основных приоритетов становится семья, такие люди больше нацелены построить комфортные отношения с близкими и благоприятную психологическую атмосферу в доме, чем на обеспечение материальными благами. Взаимосвязь можно объяснить тем, что чем больше студенты «поклоняются» деньгам, тем большую роль в их жизни играют эти материальные блага, тем больше им присваивается функций, таких как стабилизация эмоционального состояния, решение жизненных трудностей и так далее. У людей, не считающих деньги настолько универсальным средством от всех проблем и невзгод, часть таких функций как раз может выполнять семья, от чего ее значимость для человека будет повышаться.</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 xml:space="preserve">Студенты, склонные к обеспокоенности деньгами, сильнее ценят наличие хороших и верных друзей. Так как для таких людей характерно недоверие к окружающим в финансовых вопросах, им более важно, чем многим другим, наличие людей, которым могут доверять. Они ценят самоконтроль как важный аспект для достижения своих целей. В противоречие с этим входит то, что данная группа студентов считает, что им не очень важно быть рациональными при принятии решений. </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 xml:space="preserve">Обобщая написанное выше, можно с уверенностью сказать, что в ходе исследования и анализа данных удалось составить комплексное представление о монетарных отношениях в разных группах студентов, проследить как осознаваемые компоненты данного феномена, так и глубинные эмоциональные. Также становятся возможными выводы о взгляде на материальные средства различных групп, основных функциях, которые придают этим средствам люди, и других особенностях монетарных отношений. Были подтверждены гипотезы о существовании различий в ценностных ориентациях студентов с различными монетарными отношениями и о наличии взаимосвязей между монетарными отношениями и ценностными </w:t>
        <w:br w:type="textWrapping"/>
        <w:t>ориентациями.</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r>
    </w:p>
    <w:p>
      <w:pPr>
        <w:spacing w:after="0" w:line="240" w:lineRule="auto"/>
        <w:jc w:val="center"/>
        <w:rPr>
          <w:rFonts w:ascii="Times New Roman" w:hAnsi="Times New Roman" w:eastAsia="Times New Roman"/>
          <w:b/>
          <w:bCs/>
          <w:color w:val="000000"/>
          <w:sz w:val="24"/>
          <w:szCs w:val="24"/>
        </w:rPr>
      </w:pPr>
      <w:r>
        <w:rPr>
          <w:rFonts w:ascii="Times New Roman" w:hAnsi="Times New Roman" w:eastAsia="Times New Roman"/>
          <w:b/>
          <w:bCs/>
          <w:color w:val="000000"/>
          <w:sz w:val="24"/>
          <w:szCs w:val="24"/>
        </w:rPr>
        <w:t>Список литературы</w:t>
      </w:r>
    </w:p>
    <w:p>
      <w:pPr>
        <w:ind w:firstLine="284"/>
        <w:spacing w:after="0" w:line="240" w:lineRule="auto"/>
        <w:jc w:val="both"/>
        <w:rPr>
          <w:rFonts w:ascii="Times New Roman" w:hAnsi="Times New Roman" w:eastAsia="Times New Roman"/>
          <w:b/>
          <w:bCs/>
          <w:color w:val="000000"/>
          <w:sz w:val="24"/>
          <w:szCs w:val="24"/>
        </w:rPr>
      </w:pPr>
      <w:r>
        <w:rPr>
          <w:rFonts w:ascii="Times New Roman" w:hAnsi="Times New Roman" w:eastAsia="Times New Roman"/>
          <w:b/>
          <w:bCs/>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1. </w:t>
      </w:r>
      <w:r>
        <w:rPr>
          <w:rFonts w:ascii="Times New Roman" w:hAnsi="Times New Roman" w:eastAsia="Times New Roman"/>
          <w:i/>
          <w:color w:val="000000"/>
          <w:sz w:val="24"/>
          <w:szCs w:val="24"/>
        </w:rPr>
        <w:t>Джанерьян С. Т</w:t>
      </w:r>
      <w:r>
        <w:rPr>
          <w:rFonts w:ascii="Times New Roman" w:hAnsi="Times New Roman" w:eastAsia="Times New Roman"/>
          <w:color w:val="000000"/>
          <w:sz w:val="24"/>
          <w:szCs w:val="24"/>
        </w:rPr>
        <w:t>. Содержание и характеристики ценностно-смысловых отношений к деньгам у студентов и работающих в социономических профессиях / С. Т. Джанерьян, Е. А. Махрина // Северо-Кавказский психологический вестник. — 2005. — № 3. — С. 20—27.</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highlight w:val="white"/>
          <w:color w:val="000000"/>
          <w:sz w:val="24"/>
          <w:szCs w:val="24"/>
        </w:rPr>
        <w:t>2. </w:t>
      </w:r>
      <w:r>
        <w:rPr>
          <w:rFonts w:ascii="Times New Roman" w:hAnsi="Times New Roman" w:eastAsia="Times New Roman"/>
          <w:highlight w:val="white"/>
          <w:i/>
          <w:color w:val="000000"/>
          <w:sz w:val="24"/>
          <w:szCs w:val="24"/>
        </w:rPr>
        <w:t>Исаакян С. А</w:t>
      </w:r>
      <w:r>
        <w:rPr>
          <w:rFonts w:ascii="Times New Roman" w:hAnsi="Times New Roman" w:eastAsia="Times New Roman"/>
          <w:highlight w:val="white"/>
          <w:color w:val="000000"/>
          <w:sz w:val="24"/>
          <w:szCs w:val="24"/>
        </w:rPr>
        <w:t xml:space="preserve">. </w:t>
      </w:r>
      <w:r>
        <w:rPr>
          <w:rFonts w:ascii="Times New Roman" w:hAnsi="Times New Roman" w:eastAsia="Times New Roman"/>
          <w:color w:val="000000"/>
          <w:sz w:val="24"/>
          <w:szCs w:val="24"/>
        </w:rPr>
        <w:t>Кросскультурный анализ взаимосвязи монетарных аттитюдов и индивидуальных ценностей / С. А. </w:t>
      </w:r>
      <w:r>
        <w:rPr>
          <w:rFonts w:ascii="Times New Roman" w:hAnsi="Times New Roman" w:eastAsia="Times New Roman"/>
          <w:highlight w:val="white"/>
          <w:color w:val="000000"/>
          <w:sz w:val="24"/>
          <w:szCs w:val="24"/>
        </w:rPr>
        <w:t>Исаакян, Н. А. Амерханова // Ценности культуры и модели экономического поведения. — Москва : Спутник, 2011. — С. 238—253.</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3. </w:t>
      </w:r>
      <w:r>
        <w:rPr>
          <w:rFonts w:ascii="Times New Roman" w:hAnsi="Times New Roman" w:eastAsia="Times New Roman"/>
          <w:i/>
          <w:color w:val="000000"/>
          <w:sz w:val="24"/>
          <w:szCs w:val="24"/>
        </w:rPr>
        <w:t>Камнева Е. В</w:t>
      </w:r>
      <w:r>
        <w:rPr>
          <w:rFonts w:ascii="Times New Roman" w:hAnsi="Times New Roman" w:eastAsia="Times New Roman"/>
          <w:color w:val="000000"/>
          <w:sz w:val="24"/>
          <w:szCs w:val="24"/>
        </w:rPr>
        <w:t>. Взаимосвязь карьерных ориентаций студентов и их отношения к деньгам / Е. В. Камнева, Н. В. Анненкова // Психологiя економiчного самовизначення особи i спiльноти : матерiали I Мiжнародного науково-практичного семiнару, Днiпропетровськ — Запорiжжя, 16—17 травня 2013 р. — Днiпропетровськ : Днiпропетровський унiверситет iменi Альфреда Нобеля, 2013. — С. 170—173.</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4. </w:t>
      </w:r>
      <w:r>
        <w:rPr>
          <w:rFonts w:ascii="Times New Roman" w:hAnsi="Times New Roman" w:eastAsia="Times New Roman"/>
          <w:i/>
          <w:color w:val="000000"/>
          <w:sz w:val="24"/>
          <w:szCs w:val="24"/>
        </w:rPr>
        <w:t>Карелкин Е. Н</w:t>
      </w:r>
      <w:r>
        <w:rPr>
          <w:rFonts w:ascii="Times New Roman" w:hAnsi="Times New Roman" w:eastAsia="Times New Roman"/>
          <w:color w:val="000000"/>
          <w:sz w:val="24"/>
          <w:szCs w:val="24"/>
        </w:rPr>
        <w:t>. Социально-психологические особенности студенческой молодежи / Е. Н. Карелкин // Вестник Краснодарского университета МВД России. — 2014. — № 4 (26). — С. 155—157.</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5. </w:t>
      </w:r>
      <w:r>
        <w:rPr>
          <w:rFonts w:ascii="Times New Roman" w:hAnsi="Times New Roman" w:eastAsia="Times New Roman"/>
          <w:i/>
          <w:color w:val="000000"/>
          <w:sz w:val="24"/>
          <w:szCs w:val="24"/>
        </w:rPr>
        <w:t>Махрина Е. А</w:t>
      </w:r>
      <w:r>
        <w:rPr>
          <w:rFonts w:ascii="Times New Roman" w:hAnsi="Times New Roman" w:eastAsia="Times New Roman"/>
          <w:color w:val="000000"/>
          <w:sz w:val="24"/>
          <w:szCs w:val="24"/>
        </w:rPr>
        <w:t>. Виды и характеристики ценностно-смысловых отношений к деньгам у представителей социономических профессий : диссертация на соискание ученой степени кандидата психологических наук / Махрина Елена Александровна. — Ростов-на-Дону, 2006. — 234 с.</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6. </w:t>
      </w:r>
      <w:r>
        <w:rPr>
          <w:rFonts w:ascii="Times New Roman" w:hAnsi="Times New Roman" w:eastAsia="Times New Roman"/>
          <w:i/>
          <w:color w:val="000000"/>
          <w:sz w:val="24"/>
          <w:szCs w:val="24"/>
        </w:rPr>
        <w:t>Мясищев В. Н</w:t>
      </w:r>
      <w:r>
        <w:rPr>
          <w:rFonts w:ascii="Times New Roman" w:hAnsi="Times New Roman" w:eastAsia="Times New Roman"/>
          <w:color w:val="000000"/>
          <w:sz w:val="24"/>
          <w:szCs w:val="24"/>
        </w:rPr>
        <w:t>. Психология отношений : избранные психологические труды / В. Н. Мясищев ; под ред. А. А. Бодалевича ; Рост. гос. ун-т. — Москва, 1998. — 368 с.</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7. </w:t>
      </w:r>
      <w:r>
        <w:rPr>
          <w:rFonts w:ascii="Times New Roman" w:hAnsi="Times New Roman" w:eastAsia="Times New Roman"/>
          <w:i/>
          <w:color w:val="000000"/>
          <w:sz w:val="24"/>
          <w:szCs w:val="24"/>
        </w:rPr>
        <w:t>Старцева А. О</w:t>
      </w:r>
      <w:r>
        <w:rPr>
          <w:rFonts w:ascii="Times New Roman" w:hAnsi="Times New Roman" w:eastAsia="Times New Roman"/>
          <w:color w:val="000000"/>
          <w:sz w:val="24"/>
          <w:szCs w:val="24"/>
        </w:rPr>
        <w:t>. Проблема смысла жизни в представлениях студентов / А. О. Старцева // Интеллектуальный потенциал XXI века: ступени познания. — Новосибирск, 2012. — С. 125—129.</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8. </w:t>
      </w:r>
      <w:r>
        <w:rPr>
          <w:rFonts w:ascii="Times New Roman" w:hAnsi="Times New Roman" w:eastAsia="Times New Roman"/>
          <w:i/>
          <w:color w:val="000000"/>
          <w:sz w:val="24"/>
          <w:szCs w:val="24"/>
        </w:rPr>
        <w:t>Фенько А. Б</w:t>
      </w:r>
      <w:r>
        <w:rPr>
          <w:rFonts w:ascii="Times New Roman" w:hAnsi="Times New Roman" w:eastAsia="Times New Roman"/>
          <w:color w:val="000000"/>
          <w:sz w:val="24"/>
          <w:szCs w:val="24"/>
        </w:rPr>
        <w:t>. Экономическая психология. Психологический анализ отношения москвичей к деньгам / А. Б. Фенько // Психологический журнал. — 2004. — № 3. — С. 34—42.</w:t>
      </w:r>
    </w:p>
    <w:p>
      <w:pPr>
        <w:pStyle w:val="para17"/>
      </w:pPr>
      <w:r>
        <w:br w:type="page"/>
      </w:r>
      <w:bookmarkStart w:id="26" w:name="_Оглавление000014"/>
      <w:r/>
      <w:r>
        <w:rPr>
          <w:rFonts w:ascii="Symbol" w:hAnsi="Symbol" w:eastAsia="Symbol" w:cs="Symbol"/>
          <w:bCs w:val="0"/>
          <w:iCs w:val="0"/>
          <w:color w:val="ffffff"/>
          <w:kern w:val="1" kern="1"/>
          <w:lang w:eastAsia="zh-cn"/>
        </w:rPr>
        <w:t xml:space="preserve">© </w:t>
      </w:r>
      <w:r>
        <w:t xml:space="preserve">Ю. И. Мельник </w:t>
      </w:r>
      <w:bookmarkEnd w:id="26"/>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ФГБОУ ВО «Петрозаводский государственный университет»</w:t>
      </w:r>
    </w:p>
    <w:p>
      <w:pPr>
        <w:ind w:firstLine="284"/>
        <w:spacing w:after="0" w:line="240" w:lineRule="auto"/>
        <w:jc w:val="right"/>
        <w:rPr>
          <w:rFonts w:ascii="Times New Roman" w:hAnsi="Times New Roman"/>
          <w:i/>
          <w:color w:val="000000"/>
          <w:sz w:val="24"/>
          <w:szCs w:val="24"/>
          <w:u w:color="auto" w:val="single"/>
        </w:rPr>
      </w:pPr>
      <w:r>
        <w:rPr>
          <w:rFonts w:ascii="Times New Roman" w:hAnsi="Times New Roman"/>
          <w:i/>
          <w:color w:val="000000"/>
          <w:sz w:val="24"/>
          <w:szCs w:val="24"/>
        </w:rPr>
        <w:t>г. Петрозаводск, Россия</w:t>
      </w:r>
      <w:r>
        <w:rPr>
          <w:rFonts w:ascii="Times New Roman" w:hAnsi="Times New Roman"/>
          <w:i/>
          <w:color w:val="000000"/>
          <w:sz w:val="24"/>
          <w:szCs w:val="24"/>
          <w:u w:color="auto" w:val="single"/>
        </w:rPr>
      </w:r>
    </w:p>
    <w:p>
      <w:pPr>
        <w:ind w:firstLine="284"/>
        <w:spacing w:after="0" w:line="240" w:lineRule="auto"/>
        <w:jc w:val="both"/>
        <w:rPr>
          <w:rFonts w:ascii="Times New Roman" w:hAnsi="Times New Roman"/>
          <w:b/>
          <w:i/>
          <w:color w:val="000000"/>
          <w:sz w:val="24"/>
          <w:szCs w:val="24"/>
        </w:rPr>
      </w:pPr>
      <w:r>
        <w:rPr>
          <w:rFonts w:ascii="Times New Roman" w:hAnsi="Times New Roman"/>
          <w:b/>
          <w:i/>
          <w:color w:val="000000"/>
          <w:sz w:val="24"/>
          <w:szCs w:val="24"/>
        </w:rPr>
      </w:r>
    </w:p>
    <w:p>
      <w:pPr>
        <w:pStyle w:val="para16"/>
      </w:pPr>
      <w:bookmarkStart w:id="27" w:name="_Оглавление000015"/>
      <w:r>
        <w:t xml:space="preserve">ЭМОЦИОНАЛЬНОЕ ВЫГОРАНИЕ КАК СИСТЕМНОЕ ЯВЛЕНИЕ </w:t>
        <w:br w:type="textWrapping"/>
        <w:t xml:space="preserve">И ОБРЕТЕНИЕ СМЫСЛА КАК ПРЕДУПРЕЖДЕНИЕ ВЫГОРАНИЯ </w:t>
        <w:br w:type="textWrapping"/>
        <w:t>В СОЦИОНОМИЧЕСКИХ ПРОФЕССИЯХ</w:t>
      </w:r>
      <w:bookmarkEnd w:id="27"/>
      <w:r/>
    </w:p>
    <w:p>
      <w:pPr>
        <w:ind w:firstLine="284"/>
        <w:spacing w:after="0" w:line="240" w:lineRule="auto"/>
        <w:jc w:val="both"/>
        <w:rPr>
          <w:rFonts w:ascii="Times New Roman" w:hAnsi="Times New Roman"/>
          <w:b/>
          <w:i/>
          <w:color w:val="000000"/>
          <w:sz w:val="24"/>
          <w:szCs w:val="24"/>
        </w:rPr>
      </w:pPr>
      <w:r>
        <w:rPr>
          <w:rFonts w:ascii="Times New Roman" w:hAnsi="Times New Roman"/>
          <w:b/>
          <w:i/>
          <w:color w:val="000000"/>
          <w:sz w:val="24"/>
          <w:szCs w:val="24"/>
        </w:rPr>
      </w:r>
    </w:p>
    <w:p>
      <w:pPr>
        <w:ind w:firstLine="284"/>
        <w:spacing w:after="0" w:line="240" w:lineRule="auto"/>
        <w:jc w:val="both"/>
        <w:rPr>
          <w:rFonts w:ascii="Times New Roman" w:hAnsi="Times New Roman"/>
          <w:b/>
          <w:color w:val="000000"/>
          <w:sz w:val="24"/>
          <w:szCs w:val="24"/>
        </w:rPr>
      </w:pPr>
      <w:r>
        <w:rPr>
          <w:rFonts w:ascii="Times New Roman" w:hAnsi="Times New Roman"/>
          <w:b/>
          <w:i/>
          <w:color w:val="000000"/>
          <w:sz w:val="24"/>
          <w:szCs w:val="24"/>
        </w:rPr>
        <w:t xml:space="preserve">Аннотация. </w:t>
      </w:r>
      <w:r>
        <w:rPr>
          <w:rFonts w:ascii="Times New Roman" w:hAnsi="Times New Roman"/>
          <w:iCs/>
          <w:color w:val="000000"/>
          <w:sz w:val="24"/>
          <w:szCs w:val="24"/>
        </w:rPr>
        <w:t>В статье рассматривается использование системного анализа психологических объектов, предложенного В. А.</w:t>
      </w:r>
      <w:r>
        <w:rPr>
          <w:rFonts w:ascii="Times New Roman" w:hAnsi="Times New Roman"/>
          <w:color w:val="000000"/>
          <w:sz w:val="24"/>
          <w:szCs w:val="24"/>
        </w:rPr>
        <w:t> </w:t>
      </w:r>
      <w:r>
        <w:rPr>
          <w:rFonts w:ascii="Times New Roman" w:hAnsi="Times New Roman"/>
          <w:iCs/>
          <w:color w:val="000000"/>
          <w:sz w:val="24"/>
          <w:szCs w:val="24"/>
        </w:rPr>
        <w:t xml:space="preserve">Ганзеном для описания феномена эмоционального выгорания. Представлены четыре линии анализа: </w:t>
      </w:r>
      <w:r>
        <w:rPr>
          <w:rFonts w:ascii="Times New Roman" w:hAnsi="Times New Roman"/>
          <w:color w:val="000000"/>
          <w:sz w:val="24"/>
          <w:szCs w:val="24"/>
        </w:rPr>
        <w:t>временнaя, пространственная, энергетическая и информационная, которые можно применить для системного описания выгорания. Временной характеристике соответствует эмоциональное истощение, пространственной характеристике — деперсонализация, информационной характеристике — редукция достижений, энергетической характеристике соответствует снижение мотивации, как четвертая переменная выгорания. Нахождение смысла в своей профессиональной деятельности в виде создания ценности для других является способом предотвращения выгорания в социономических профессиях.</w:t>
      </w: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Ключевые слова:</w:t>
      </w:r>
      <w:r>
        <w:rPr>
          <w:rFonts w:ascii="Times New Roman" w:hAnsi="Times New Roman"/>
          <w:b/>
          <w:color w:val="000000"/>
          <w:sz w:val="24"/>
          <w:szCs w:val="24"/>
        </w:rPr>
        <w:t xml:space="preserve"> </w:t>
      </w:r>
      <w:r>
        <w:rPr>
          <w:rFonts w:ascii="Times New Roman" w:hAnsi="Times New Roman"/>
          <w:color w:val="000000"/>
          <w:sz w:val="24"/>
          <w:szCs w:val="24"/>
        </w:rPr>
        <w:t xml:space="preserve">эмоциональное выгорание, системное описание, системные характеристики, пентабазис, социономические профессии, смысловые причины выгорания и снижение мотивации. </w:t>
      </w:r>
    </w:p>
    <w:p>
      <w:pPr>
        <w:ind w:firstLine="284"/>
        <w:spacing w:after="0" w:line="240" w:lineRule="auto"/>
        <w:jc w:val="both"/>
        <w:rPr>
          <w:rFonts w:ascii="Times New Roman" w:hAnsi="Times New Roman"/>
          <w:i/>
          <w:color w:val="000000"/>
          <w:sz w:val="24"/>
          <w:szCs w:val="24"/>
        </w:rPr>
      </w:pPr>
      <w:r>
        <w:rPr>
          <w:rFonts w:ascii="Times New Roman" w:hAnsi="Times New Roman"/>
          <w:i/>
          <w:color w:val="000000"/>
          <w:sz w:val="24"/>
          <w:szCs w:val="24"/>
        </w:rPr>
      </w:r>
    </w:p>
    <w:p>
      <w:pPr>
        <w:ind w:firstLine="284"/>
        <w:spacing w:after="0" w:line="240" w:lineRule="auto"/>
        <w:jc w:val="right"/>
        <w:rPr>
          <w:rFonts w:ascii="Times New Roman" w:hAnsi="Times New Roman"/>
          <w:color w:val="000000"/>
          <w:sz w:val="24"/>
          <w:szCs w:val="24"/>
          <w:lang w:val="en-us"/>
        </w:rPr>
      </w:pPr>
      <w:r>
        <w:rPr>
          <w:rFonts w:ascii="Times New Roman" w:hAnsi="Times New Roman"/>
          <w:b/>
          <w:i/>
          <w:color w:val="000000"/>
          <w:sz w:val="24"/>
          <w:szCs w:val="24"/>
          <w:lang w:val="en-us"/>
        </w:rPr>
        <w:t>Y. I. Melnik</w:t>
      </w:r>
      <w:r>
        <w:rPr>
          <w:rFonts w:ascii="Times New Roman" w:hAnsi="Times New Roman"/>
          <w:color w:val="000000"/>
          <w:sz w:val="24"/>
          <w:szCs w:val="24"/>
          <w:lang w:val="en-us"/>
        </w:rPr>
        <w:t xml:space="preserve"> </w:t>
      </w:r>
    </w:p>
    <w:p>
      <w:pPr>
        <w:pStyle w:val="para8"/>
        <w:ind w:firstLine="284"/>
        <w:spacing w:before="0" w:after="0" w:beforeAutospacing="0" w:afterAutospacing="0"/>
        <w:jc w:val="right"/>
        <w:rPr>
          <w:i/>
          <w:color w:val="000000"/>
          <w:lang w:val="en-us"/>
        </w:rPr>
      </w:pPr>
      <w:r>
        <w:rPr>
          <w:i/>
          <w:color w:val="000000"/>
          <w:lang w:val="en-us"/>
        </w:rPr>
        <w:t>Petrozavodsk State University</w:t>
      </w:r>
    </w:p>
    <w:p>
      <w:pPr>
        <w:pStyle w:val="para8"/>
        <w:ind w:firstLine="284"/>
        <w:spacing w:before="0" w:after="0" w:beforeAutospacing="0" w:afterAutospacing="0"/>
        <w:jc w:val="right"/>
        <w:rPr>
          <w:i/>
          <w:color w:val="000000"/>
          <w:lang w:val="en-us"/>
        </w:rPr>
      </w:pPr>
      <w:r>
        <w:rPr>
          <w:i/>
          <w:color w:val="000000"/>
          <w:lang w:val="en-us"/>
        </w:rPr>
        <w:t>Petrozavodsk, Russia</w:t>
      </w:r>
    </w:p>
    <w:p>
      <w:pPr>
        <w:ind w:firstLine="284"/>
        <w:spacing w:after="0" w:line="240" w:lineRule="auto"/>
        <w:jc w:val="both"/>
        <w:rPr>
          <w:rFonts w:ascii="Times New Roman" w:hAnsi="Times New Roman"/>
          <w:b/>
          <w:color w:val="000000"/>
          <w:sz w:val="24"/>
          <w:szCs w:val="24"/>
          <w:lang w:val="en-us"/>
        </w:rPr>
      </w:pPr>
      <w:r>
        <w:rPr>
          <w:rFonts w:ascii="Times New Roman" w:hAnsi="Times New Roman"/>
          <w:b/>
          <w:color w:val="000000"/>
          <w:sz w:val="24"/>
          <w:szCs w:val="24"/>
          <w:lang w:val="en-us"/>
        </w:rPr>
      </w:r>
    </w:p>
    <w:p>
      <w:pPr>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EMOTIONAL BURNOUT AS A SYSTEMIC PHENOMENON AND MEANING</w:t>
        <w:br w:type="textWrapping"/>
        <w:t>AS A PREVENTION OF BURNOUT IN SOCIONOMIC PROFESSIONS</w:t>
      </w:r>
    </w:p>
    <w:p>
      <w:pPr>
        <w:ind w:firstLine="284"/>
        <w:spacing w:after="0" w:line="240" w:lineRule="auto"/>
        <w:jc w:val="both"/>
        <w:rPr>
          <w:rFonts w:ascii="Times New Roman" w:hAnsi="Times New Roman"/>
          <w:b/>
          <w:i/>
          <w:color w:val="000000"/>
          <w:sz w:val="24"/>
          <w:szCs w:val="24"/>
          <w:lang w:val="en-us"/>
        </w:rPr>
      </w:pPr>
      <w:r>
        <w:rPr>
          <w:rFonts w:ascii="Times New Roman" w:hAnsi="Times New Roman"/>
          <w:b/>
          <w:i/>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Abstract.</w:t>
      </w:r>
      <w:r>
        <w:rPr>
          <w:rFonts w:ascii="Times New Roman" w:hAnsi="Times New Roman"/>
          <w:i/>
          <w:color w:val="000000"/>
          <w:sz w:val="24"/>
          <w:szCs w:val="24"/>
          <w:lang w:val="en-us"/>
        </w:rPr>
        <w:t xml:space="preserve"> </w:t>
      </w:r>
      <w:r>
        <w:rPr>
          <w:rFonts w:ascii="Times New Roman" w:hAnsi="Times New Roman"/>
          <w:color w:val="000000"/>
          <w:sz w:val="24"/>
          <w:szCs w:val="24"/>
          <w:lang w:val="en-us"/>
        </w:rPr>
        <w:t>The article discusses the use of a system analysis of psychological objects proposed by V. A. Ganzen to describe the phenomenon of emotional burnout. Four lines of analysis are presented — temporal, spatial, energy and informational, which can be used for a systematic description of burnout. The temporal characteristic corresponds to emotional exhaustion, the spatial characteristic corresponds to depersonalization, the informational characteristic corresponds to the reduction of achievements, and the energy characteristic corresponds to a decrease in motivation as the fourth variable of burnout. Finding meaning in your professional activity in the form of creating value for others is a way to prevent burnout in socionomic professions.</w:t>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Keywords:</w:t>
      </w:r>
      <w:r>
        <w:rPr>
          <w:rFonts w:ascii="Times New Roman" w:hAnsi="Times New Roman"/>
          <w:i/>
          <w:color w:val="000000"/>
          <w:sz w:val="24"/>
          <w:szCs w:val="24"/>
          <w:lang w:val="en-us"/>
        </w:rPr>
        <w:t xml:space="preserve"> </w:t>
      </w:r>
      <w:r>
        <w:rPr>
          <w:rFonts w:ascii="Times New Roman" w:hAnsi="Times New Roman"/>
          <w:color w:val="000000"/>
          <w:sz w:val="24"/>
          <w:szCs w:val="24"/>
          <w:lang w:val="en-us"/>
        </w:rPr>
        <w:t>emotional burnout, systemic description, systemic characteristics, pentabasis, socionomic professions, value causes of burnout and decreased motivation.</w:t>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Термин, понятие и явление «эмоциональное выгорание», «профессиональное выгорание» или просто «выгорание» стало вновь широко обсуждаемым в связи с «ковидными» временами и последними социально-политическими изменениями, что стало поводом обратить внимание на психологов и врачей, работавших в сложных условиях и испытывавших колоссальные профессиональные и эмоциональные нагрузки. Эти ситуации породили новый всплеск исследований эмоционального выгорания, прежде всего у врачей, а также его проявления у представителей ряда других профессий, оказывающих социальную и психологическую помощь. </w:t>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color w:val="000000"/>
          <w:sz w:val="24"/>
          <w:szCs w:val="24"/>
        </w:rPr>
        <w:t>Исследование феномена выгорания имеет свою историю как изучения, так и различных интерпретаций в зарубежной и отечественной литературе. И как справедливо замечают К. В. </w:t>
      </w:r>
      <w:r>
        <w:rPr>
          <w:rFonts w:ascii="Times New Roman" w:hAnsi="Times New Roman" w:eastAsia="Times New Roman"/>
          <w:iCs/>
          <w:color w:val="000000"/>
          <w:sz w:val="24"/>
          <w:szCs w:val="24"/>
          <w:lang w:eastAsia="ru-ru"/>
        </w:rPr>
        <w:t>Коз</w:t>
      </w:r>
      <w:r>
        <w:rPr>
          <w:rFonts w:ascii="Times New Roman" w:hAnsi="Times New Roman" w:eastAsia="Times New Roman"/>
          <w:iCs/>
          <w:color w:val="000000"/>
          <w:sz w:val="24"/>
          <w:szCs w:val="24"/>
          <w:lang w:eastAsia="ru-ru"/>
        </w:rPr>
        <w:t>лова</w:t>
      </w:r>
      <w:r>
        <w:rPr>
          <w:rFonts w:ascii="Times New Roman" w:hAnsi="Times New Roman" w:eastAsia="Times New Roman"/>
          <w:iCs/>
          <w:color w:val="000000"/>
          <w:sz w:val="24"/>
          <w:szCs w:val="24"/>
          <w:lang w:eastAsia="ru-ru"/>
        </w:rPr>
        <w:t xml:space="preserve">, </w:t>
      </w:r>
      <w:r>
        <w:rPr>
          <w:rFonts w:ascii="Times New Roman" w:hAnsi="Times New Roman" w:eastAsia="Times New Roman"/>
          <w:iCs/>
          <w:color w:val="000000"/>
          <w:sz w:val="24"/>
          <w:szCs w:val="24"/>
          <w:lang w:eastAsia="ru-ru"/>
        </w:rPr>
        <w:t>О. И. Муравьева</w:t>
      </w:r>
      <w:r>
        <w:rPr>
          <w:rFonts w:ascii="Times New Roman" w:hAnsi="Times New Roman" w:eastAsia="Times New Roman"/>
          <w:iCs/>
          <w:color w:val="000000"/>
          <w:sz w:val="24"/>
          <w:szCs w:val="24"/>
          <w:lang w:eastAsia="ru-ru"/>
        </w:rPr>
        <w:t xml:space="preserve">, </w:t>
      </w:r>
      <w:r>
        <w:rPr>
          <w:rFonts w:ascii="Times New Roman" w:hAnsi="Times New Roman" w:eastAsia="Times New Roman"/>
          <w:iCs/>
          <w:color w:val="000000"/>
          <w:sz w:val="24"/>
          <w:szCs w:val="24"/>
          <w:lang w:eastAsia="ru-ru"/>
        </w:rPr>
        <w:t>Г. С. </w:t>
      </w:r>
      <w:r>
        <w:rPr>
          <w:rFonts w:ascii="Times New Roman" w:hAnsi="Times New Roman" w:eastAsia="Times New Roman"/>
          <w:iCs/>
          <w:color w:val="000000"/>
          <w:sz w:val="24"/>
          <w:szCs w:val="24"/>
          <w:lang w:eastAsia="ru-ru"/>
        </w:rPr>
        <w:t>Корытова</w:t>
      </w:r>
      <w:r>
        <w:rPr>
          <w:rFonts w:ascii="Times New Roman" w:hAnsi="Times New Roman" w:eastAsia="Times New Roman"/>
          <w:iCs/>
          <w:color w:val="000000"/>
          <w:sz w:val="24"/>
          <w:szCs w:val="24"/>
          <w:lang w:eastAsia="ru-ru"/>
        </w:rPr>
        <w:t>:</w:t>
      </w:r>
      <w:r>
        <w:rPr>
          <w:rFonts w:ascii="Times New Roman" w:hAnsi="Times New Roman"/>
          <w:color w:val="000000"/>
          <w:sz w:val="24"/>
          <w:szCs w:val="24"/>
        </w:rPr>
        <w:t xml:space="preserve"> «… </w:t>
      </w:r>
      <w:r>
        <w:rPr>
          <w:rFonts w:ascii="Times New Roman" w:hAnsi="Times New Roman" w:eastAsia="Times New Roman"/>
          <w:color w:val="000000"/>
          <w:sz w:val="24"/>
          <w:szCs w:val="24"/>
          <w:lang w:eastAsia="ru-ru"/>
        </w:rPr>
        <w:t>у исследователей отсутствует единое мнение относительно понятийного аппарата выгорания, где ключевую роль играет определе</w:t>
      </w:r>
      <w:r>
        <w:rPr>
          <w:rFonts w:ascii="Times New Roman" w:hAnsi="Times New Roman" w:eastAsia="Times New Roman"/>
          <w:color w:val="000000"/>
          <w:sz w:val="24"/>
          <w:szCs w:val="24"/>
          <w:lang w:eastAsia="ru-ru"/>
        </w:rPr>
        <w:t>ние по</w:t>
      </w:r>
      <w:r>
        <w:rPr>
          <w:rFonts w:ascii="Times New Roman" w:hAnsi="Times New Roman" w:eastAsia="Times New Roman"/>
          <w:color w:val="000000"/>
          <w:sz w:val="24"/>
          <w:szCs w:val="24"/>
          <w:lang w:eastAsia="ru-ru"/>
        </w:rPr>
        <w:t>нятия “</w:t>
      </w:r>
      <w:r>
        <w:rPr>
          <w:rFonts w:ascii="Times New Roman" w:hAnsi="Times New Roman" w:eastAsia="Times New Roman"/>
          <w:color w:val="000000"/>
          <w:sz w:val="24"/>
          <w:szCs w:val="24"/>
          <w:lang w:eastAsia="ru-ru"/>
        </w:rPr>
        <w:t>выгорание</w:t>
      </w:r>
      <w:r>
        <w:rPr>
          <w:rFonts w:ascii="Times New Roman" w:hAnsi="Times New Roman" w:eastAsia="Times New Roman"/>
          <w:color w:val="000000"/>
          <w:sz w:val="24"/>
          <w:szCs w:val="24"/>
          <w:lang w:eastAsia="ru-ru"/>
        </w:rPr>
        <w:t>”</w:t>
      </w:r>
      <w:r>
        <w:rPr>
          <w:rFonts w:ascii="Times New Roman" w:hAnsi="Times New Roman" w:eastAsia="Times New Roman"/>
          <w:color w:val="000000"/>
          <w:sz w:val="24"/>
          <w:szCs w:val="24"/>
          <w:lang w:eastAsia="ru-ru"/>
        </w:rPr>
        <w:t xml:space="preserve">» </w:t>
      </w:r>
      <w:r>
        <w:rPr>
          <w:rFonts w:ascii="Times New Roman" w:hAnsi="Times New Roman"/>
          <w:color w:val="000000"/>
          <w:sz w:val="24"/>
          <w:szCs w:val="24"/>
        </w:rPr>
        <w:t>[2, с. 18]. В своей статье авторы провели анализ существующих точек зрения на понятие «выгорание» и выделили основные существенные признаки, которые и описывают данный феномен.</w:t>
      </w:r>
      <w:r>
        <w:rPr>
          <w:rFonts w:ascii="Times New Roman" w:hAnsi="Times New Roman" w:eastAsia="Times New Roman"/>
          <w:color w:val="000000"/>
          <w:sz w:val="24"/>
          <w:szCs w:val="24"/>
          <w:lang w:eastAsia="ru-ru"/>
        </w:rPr>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1. Выгорание — это многомерный конструкт.</w:t>
      </w:r>
    </w:p>
    <w:p>
      <w:pPr>
        <w:pStyle w:val="para4"/>
        <w:ind w:left="0" w:firstLine="284"/>
        <w:spacing w:after="0" w:line="240" w:lineRule="auto"/>
        <w:contextualSpacing w:val="0"/>
        <w:jc w:val="both"/>
        <w:rPr>
          <w:rFonts w:ascii="Times New Roman" w:hAnsi="Times New Roman"/>
          <w:color w:val="000000"/>
          <w:sz w:val="24"/>
          <w:szCs w:val="24"/>
          <w:lang w:val="ru-ru" w:eastAsia="ru-ru"/>
        </w:rPr>
      </w:pPr>
      <w:r>
        <w:rPr>
          <w:rFonts w:ascii="Times New Roman" w:hAnsi="Times New Roman"/>
          <w:color w:val="000000"/>
          <w:sz w:val="24"/>
          <w:szCs w:val="24"/>
          <w:lang w:val="ru-ru" w:eastAsia="ru-ru"/>
        </w:rPr>
        <w:t>2. Выгорание представляется многими авторами как процесс, который происходит в течение определенного времени.</w:t>
      </w:r>
    </w:p>
    <w:p>
      <w:pPr>
        <w:pStyle w:val="para4"/>
        <w:ind w:left="0" w:firstLine="284"/>
        <w:spacing w:after="0" w:line="240" w:lineRule="auto"/>
        <w:contextualSpacing w:val="0"/>
        <w:jc w:val="both"/>
        <w:rPr>
          <w:rFonts w:ascii="Times New Roman" w:hAnsi="Times New Roman"/>
          <w:color w:val="000000"/>
          <w:sz w:val="24"/>
          <w:szCs w:val="24"/>
          <w:lang w:val="ru-ru" w:eastAsia="ru-ru"/>
        </w:rPr>
      </w:pPr>
      <w:r>
        <w:rPr>
          <w:rFonts w:ascii="Times New Roman" w:hAnsi="Times New Roman"/>
          <w:color w:val="000000"/>
          <w:sz w:val="24"/>
          <w:szCs w:val="24"/>
          <w:lang w:val="ru-ru" w:eastAsia="ru-ru"/>
        </w:rPr>
        <w:t>3. Выгорание имеет следующие содержательные психологические характеристики. Негативные внутренние переживания: состояние психического, физического и когнитивного истощения, деперсонализация, редуцирование (редукция) личных достижений; дезадаптивное поведение; деформация личности профессионала. Причем указанные характеристики приходят на смену друг другу в процессе развития выгорания.</w:t>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4. Выгорание несет защитную функцию: экономия эмоционального реагирования, экономия энергетических ресурсов, защитная функция для предотвращения последующего развития неэкзистенциальной установки.</w:t>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5. Выгорание появляется в профессиональной деятельности, является сложным по своему происхождению феноменом и обусловлено сочетанием личностных и ситуационных факторов, которые касаются как сферы межличностных отношений, так и профессиональной и рабочей ситуации.</w:t>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6. Выгорание воздействует на все подструктуры личности и отрицательно сказывается на личной жизни и профессиональной деятельности.</w:t>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xml:space="preserve">7. Выгорание может наблюдаться только у психически здоровых людей, не страдающих патологиями </w:t>
      </w:r>
      <w:r>
        <w:rPr>
          <w:rFonts w:ascii="Times New Roman" w:hAnsi="Times New Roman"/>
          <w:color w:val="000000"/>
          <w:sz w:val="24"/>
          <w:szCs w:val="24"/>
        </w:rPr>
        <w:t xml:space="preserve">[2, с. 24]. </w:t>
      </w:r>
      <w:r>
        <w:rPr>
          <w:rFonts w:ascii="Times New Roman" w:hAnsi="Times New Roman" w:eastAsia="Times New Roman"/>
          <w:color w:val="000000"/>
          <w:sz w:val="24"/>
          <w:szCs w:val="24"/>
          <w:lang w:eastAsia="ru-ru"/>
        </w:rPr>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Проведенный анализ и выделение существенных характеристик выгорания позволили авторам статьи сформулировать обобщенное определение понятия «выгорание». Выгорание — это многомерный конструкт, интегрированный в систему организации личности и выполняющий защитную функцию. Выгорание имеет ряд содержательных психологических характеристик, такие как: отрицательные внутренние переживания, дезадаптивное поведение, что может привести к деформации личности профессионала. В целом выгорание несет в себе негативную коннотацию — негативно влияет на функционирование всех структур личности, отрицательно воздействует на личную жизнь и профессиональную деятельность человека.</w:t>
      </w:r>
    </w:p>
    <w:p>
      <w:pPr>
        <w:ind w:firstLine="284"/>
        <w:spacing w:after="0" w:line="240" w:lineRule="auto"/>
        <w:jc w:val="both"/>
        <w:rPr>
          <w:rFonts w:ascii="Times New Roman" w:hAnsi="Times New Roman" w:eastAsia="TimesNewRomanPSMT"/>
          <w:color w:val="000000"/>
          <w:sz w:val="24"/>
          <w:szCs w:val="24"/>
        </w:rPr>
      </w:pPr>
      <w:r>
        <w:rPr>
          <w:rFonts w:ascii="Times New Roman" w:hAnsi="Times New Roman"/>
          <w:color w:val="000000"/>
          <w:sz w:val="24"/>
          <w:szCs w:val="24"/>
        </w:rPr>
        <w:t>Даже с учетом этого обобщенного определения термин «выгорание» остается многомерным конструктом, что подразумевает описание его структуры с соответствующими элементами. Традиционно такими элементами выступают эмоциональное истощение, деперсонализация и редукция профессиональных достижений (К. </w:t>
      </w:r>
      <w:r>
        <w:rPr>
          <w:rFonts w:ascii="Times New Roman" w:hAnsi="Times New Roman" w:eastAsia="TimesNewRomanPSMT"/>
          <w:color w:val="000000"/>
          <w:sz w:val="24"/>
          <w:szCs w:val="24"/>
        </w:rPr>
        <w:t>Маслач</w:t>
      </w:r>
      <w:r>
        <w:rPr>
          <w:rFonts w:ascii="Times New Roman" w:hAnsi="Times New Roman" w:eastAsia="TimesNewRomanPSMT"/>
          <w:color w:val="000000"/>
          <w:sz w:val="24"/>
          <w:szCs w:val="24"/>
        </w:rPr>
        <w:t>,</w:t>
      </w:r>
      <w:r>
        <w:rPr>
          <w:rFonts w:ascii="Times New Roman" w:hAnsi="Times New Roman" w:eastAsia="TimesNewRomanPSMT"/>
          <w:color w:val="000000"/>
          <w:sz w:val="24"/>
          <w:szCs w:val="24"/>
        </w:rPr>
        <w:t xml:space="preserve"> </w:t>
      </w:r>
      <w:r>
        <w:rPr>
          <w:rFonts w:ascii="Times New Roman" w:hAnsi="Times New Roman" w:eastAsia="TimesNewRomanPSMT"/>
          <w:color w:val="000000"/>
          <w:sz w:val="24"/>
          <w:szCs w:val="24"/>
        </w:rPr>
        <w:t xml:space="preserve">1993). Данные элементы имеют свою содержательную сущность и претендуют на полное описание феномена эмоционального выгорания. Но если понятие «выгорание» имеет относительно однозначное определение, </w:t>
      </w:r>
      <w:r>
        <w:rPr>
          <w:rFonts w:ascii="Times New Roman" w:hAnsi="Times New Roman" w:eastAsia="TimesNewRomanPSMT"/>
          <w:color w:val="000000"/>
          <w:sz w:val="24"/>
          <w:szCs w:val="24"/>
        </w:rPr>
        <w:t>т</w:t>
      </w:r>
      <w:r>
        <w:rPr>
          <w:rFonts w:ascii="Times New Roman" w:hAnsi="Times New Roman" w:eastAsia="TimesNewRomanPSMT"/>
          <w:color w:val="000000"/>
          <w:sz w:val="24"/>
          <w:szCs w:val="24"/>
        </w:rPr>
        <w:t>о сохраняется различие подходов к интерпретации и пониманию соответствующих элементов выгорания</w:t>
      </w:r>
      <w:r>
        <w:rPr>
          <w:rFonts w:ascii="Times New Roman" w:hAnsi="Times New Roman" w:eastAsia="TimesNewRomanPSMT"/>
          <w:color w:val="000000"/>
          <w:sz w:val="24"/>
          <w:szCs w:val="24"/>
        </w:rPr>
        <w:t>,</w:t>
      </w:r>
      <w:r>
        <w:rPr>
          <w:rFonts w:ascii="Times New Roman" w:hAnsi="Times New Roman" w:eastAsia="TimesNewRomanPSMT"/>
          <w:color w:val="000000"/>
          <w:sz w:val="24"/>
          <w:szCs w:val="24"/>
        </w:rPr>
        <w:t xml:space="preserve"> и как они друг с другом соотносятся. Если же выгорание интегрировано в систему организации личности, то по идее выгорание должно приобрести системные качества и должно рассматриваться как целостное явление в виде проявления всех возможных характеристик целостного объекта. Отсюда важно убедиться</w:t>
      </w:r>
      <w:r>
        <w:rPr>
          <w:rFonts w:ascii="Times New Roman" w:hAnsi="Times New Roman" w:eastAsia="TimesNewRomanPSMT"/>
          <w:color w:val="000000"/>
          <w:sz w:val="24"/>
          <w:szCs w:val="24"/>
        </w:rPr>
        <w:t>,</w:t>
      </w:r>
      <w:r>
        <w:rPr>
          <w:rFonts w:ascii="Times New Roman" w:hAnsi="Times New Roman" w:eastAsia="TimesNewRomanPSMT"/>
          <w:color w:val="000000"/>
          <w:sz w:val="24"/>
          <w:szCs w:val="24"/>
        </w:rPr>
        <w:t xml:space="preserve"> насколько выгорание соответствует требованиям описания системных объектов. </w:t>
      </w:r>
      <w:r>
        <w:rPr>
          <w:rFonts w:ascii="Times New Roman" w:hAnsi="Times New Roman" w:eastAsia="TimesNewRomanPSMT"/>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eastAsia="TimesNewRomanPSMT"/>
          <w:color w:val="000000"/>
          <w:sz w:val="24"/>
          <w:szCs w:val="24"/>
        </w:rPr>
        <w:t>Методологию системного анализа, описания целостных объектов</w:t>
      </w:r>
      <w:r>
        <w:rPr>
          <w:rFonts w:ascii="Times New Roman" w:hAnsi="Times New Roman" w:eastAsia="PetersburgC"/>
          <w:color w:val="000000"/>
          <w:sz w:val="24"/>
          <w:szCs w:val="24"/>
        </w:rPr>
        <w:t xml:space="preserve"> разработал В. А. Ганзен, предложив использовать для описания психологических явлений, которые претендуют на целостность, </w:t>
      </w:r>
      <w:r>
        <w:rPr>
          <w:rFonts w:ascii="Times New Roman" w:hAnsi="Times New Roman"/>
          <w:color w:val="000000"/>
          <w:sz w:val="24"/>
          <w:szCs w:val="24"/>
        </w:rPr>
        <w:t>понятийный общенаучный пентабазис [1]. Метод пентабазиса позволяет осуществить анализ произвольных объектов в целях: 1) проверки полноты описания; 2) упорядочивания элементов объекта; 3) сравнения различных описаний одного и того же объекта; 4) нахождения общности объектов различной природы. Пентабазис состоит из четырех рядоположенных понятий — пространство, время, энергия и информация и одного объединяющего — субстрат. Этот пентабазис (по аббревиатуре — СПВЭИ) называется общенаучным и используется для описания любого системного явления, которое стремится к статусу научного понятия в психологии. Т. И. Ронгинская вслед за В. А. Ганзеном считает, что применение метода пентабазиса позволяет выделить все необходимые сущностные элементы системного явления и тем самым определить феноменологическое содержание психической реальности, в нашем случае — эмоционального выгорания [4]. Четыре линии системного анализа — пространство, время, информация и энергия — описывают место объекта в среде других (пространство), характеризуют процессы обмена со средой (энергия и информация), а также относятся к актуальному состоянию объекта и тенденциям в его дальнейшем развитии (время). В данном случае полнота описания выгорания при помощи пентабазиса СПВЭИ будет выражаться в том, что субстрат анализа — выгорание — понимается как интегральное целое, составляющие элементы (их пока три) которого проявляются во взаимодействии с другими объектами, соответствуя пространственному, временнoму, энергетическому и информационному характеру этого взаимодействия. При этом каждой из четырех линий анализа пентабазиса СПВЭИ В. А. Ганзен приписывает центральную тенденцию, отвечающую принципу гармоничного целого. На рисунке 1 представлена полная схема пентабазиса в вербально-графической форме.</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8"/>
        <w:tabOrder w:val="0"/>
        <w:jc w:val="center"/>
        <w:tblInd w:w="0" w:type="dxa"/>
        <w:tblW w:w="9639" w:type="dxa"/>
        <w:pPr>
          <w:spacing w:after="0" w:line="240" w:lineRule="auto"/>
          <w:jc w:val="center"/>
          <w:suppressAutoHyphens/>
          <w:hyphenationLines w:val="0"/>
          <w:widowControl w:val="0"/>
        </w:pPr>
        <w:tblLook w:val="04A0" w:firstRow="1" w:lastRow="0" w:firstColumn="1" w:lastColumn="0" w:noHBand="0" w:noVBand="1"/>
      </w:tblPr>
      <w:tblGrid>
        <w:gridCol w:w="3212"/>
        <w:gridCol w:w="3213"/>
        <w:gridCol w:w="3214"/>
      </w:tblGrid>
      <w:tr>
        <w:trPr>
          <w:tblHeader w:val="0"/>
          <w:trKeepWithNext w:val="0"/>
          <w:trBreak w:val="0"/>
          <w:cantSplit w:val="0"/>
          <w:trHeight w:val="625" w:hRule="atLeast"/>
        </w:trPr>
        <w:tc>
          <w:tcPr>
            <w:tcW w:w="321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Энергия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Соподчиненность</w:t>
            </w:r>
          </w:p>
        </w:tc>
        <w:tc>
          <w:tcPr>
            <w:tcW w:w="3213" w:type="dxa"/>
            <w:vMerge w:val="restart"/>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Субстрат</w:t>
            </w:r>
          </w:p>
        </w:tc>
        <w:tc>
          <w:tcPr>
            <w:tcW w:w="321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Информация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Соразмерность</w:t>
            </w:r>
          </w:p>
        </w:tc>
      </w:tr>
      <w:tr>
        <w:trPr>
          <w:tblHeader w:val="0"/>
          <w:trKeepWithNext w:val="0"/>
          <w:trBreak w:val="0"/>
          <w:cantSplit w:val="0"/>
          <w:trHeight w:val="0" w:hRule="auto"/>
        </w:trPr>
        <w:tc>
          <w:tcPr>
            <w:tcW w:w="321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Время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Повторяемость</w:t>
            </w:r>
          </w:p>
        </w:tc>
        <w:tc>
          <w:tcPr>
            <w:tcW w:w="3213" w:type="dxa"/>
            <w:vMerge/>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tc>
        <w:tc>
          <w:tcPr>
            <w:tcW w:w="321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Пространство</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Уравновешенность</w:t>
            </w:r>
          </w:p>
        </w:tc>
      </w:tr>
    </w:tbl>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i/>
          <w:color w:val="000000"/>
          <w:sz w:val="24"/>
          <w:szCs w:val="24"/>
        </w:rPr>
        <w:t>Рис. 1</w:t>
      </w:r>
      <w:r>
        <w:rPr>
          <w:rFonts w:ascii="Times New Roman" w:hAnsi="Times New Roman"/>
          <w:color w:val="000000"/>
          <w:sz w:val="24"/>
          <w:szCs w:val="24"/>
        </w:rPr>
        <w:t>. Пентабазис СПВЭИ</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Повторяемость во временной характеристике</w:t>
      </w:r>
      <w:r>
        <w:rPr>
          <w:rFonts w:ascii="Times New Roman" w:hAnsi="Times New Roman"/>
          <w:color w:val="000000"/>
          <w:sz w:val="24"/>
          <w:szCs w:val="24"/>
        </w:rPr>
        <w:t xml:space="preserve"> является условием функционирования объекта путем поддержания непрерывности развития, выраженного в этапах, фазах, стадиях и т. п. Причем развитие носит исключительный и неповторимый характер, выраженный в создании новых форм поведения, отвечающих индивидуальным различиям в контексте взаимодействия со средой. </w:t>
      </w:r>
    </w:p>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Уравновешенность в пространственном измерении</w:t>
      </w:r>
      <w:r>
        <w:rPr>
          <w:rFonts w:ascii="Times New Roman" w:hAnsi="Times New Roman"/>
          <w:color w:val="000000"/>
          <w:sz w:val="24"/>
          <w:szCs w:val="24"/>
        </w:rPr>
        <w:t xml:space="preserve"> достигается в процессах взаимодействия и коммуникации объекта со средой и другими объектами при одновременном соблюдении необходимой для целостности индивидуальности дистанции. </w:t>
      </w:r>
    </w:p>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Соподчиненность в аспекте энергии</w:t>
      </w:r>
      <w:r>
        <w:rPr>
          <w:rFonts w:ascii="Times New Roman" w:hAnsi="Times New Roman"/>
          <w:color w:val="000000"/>
          <w:sz w:val="24"/>
          <w:szCs w:val="24"/>
        </w:rPr>
        <w:t xml:space="preserve"> определяет субординацию процессов взаимодействия объекта со средой посредством принятия ведущей или подчиненной роли этого взаимодействия. </w:t>
      </w:r>
    </w:p>
    <w:p>
      <w:pPr>
        <w:ind w:firstLine="284"/>
        <w:spacing w:after="0" w:line="240" w:lineRule="auto"/>
        <w:jc w:val="both"/>
        <w:rPr>
          <w:rFonts w:ascii="Times New Roman" w:hAnsi="Times New Roman"/>
          <w:color w:val="000000"/>
          <w:sz w:val="24"/>
          <w:szCs w:val="24"/>
        </w:rPr>
      </w:pPr>
      <w:r>
        <w:rPr>
          <w:rFonts w:ascii="Times New Roman" w:hAnsi="Times New Roman"/>
          <w:b/>
          <w:color w:val="000000"/>
          <w:sz w:val="24"/>
          <w:szCs w:val="24"/>
        </w:rPr>
        <w:t>Соразмерность информационной линии</w:t>
      </w:r>
      <w:r>
        <w:rPr>
          <w:rFonts w:ascii="Times New Roman" w:hAnsi="Times New Roman"/>
          <w:color w:val="000000"/>
          <w:sz w:val="24"/>
          <w:szCs w:val="24"/>
        </w:rPr>
        <w:t xml:space="preserve"> анализа выступает как тенденция к выделению различий форм поведения, установок и суждений объекта, как субъекта взаимодействия со средой.</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Поскольку эмоциональное выгорание как состояние сопровождает профессиональную деятельность, то требуется выделение и описание субъекта такой профессиональной деятельности. Описание субъекта деятельности в системных характеристиках также было представлено В. А. Ганзеном с опорой на пентабазис СПВЭИ (рис. 2).</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9"/>
        <w:tabOrder w:val="0"/>
        <w:jc w:val="center"/>
        <w:tblInd w:w="0" w:type="dxa"/>
        <w:tblW w:w="9639" w:type="dxa"/>
        <w:pPr>
          <w:spacing w:after="0" w:line="240" w:lineRule="auto"/>
          <w:jc w:val="center"/>
          <w:suppressAutoHyphens/>
          <w:hyphenationLines w:val="0"/>
          <w:widowControl w:val="0"/>
        </w:pPr>
        <w:tblLook w:val="04A0" w:firstRow="1" w:lastRow="0" w:firstColumn="1" w:lastColumn="0" w:noHBand="0" w:noVBand="1"/>
      </w:tblPr>
      <w:tblGrid>
        <w:gridCol w:w="3212"/>
        <w:gridCol w:w="3213"/>
        <w:gridCol w:w="3214"/>
      </w:tblGrid>
      <w:tr>
        <w:trPr>
          <w:tblHeader w:val="0"/>
          <w:trKeepWithNext w:val="0"/>
          <w:trBreak w:val="0"/>
          <w:cantSplit w:val="0"/>
          <w:trHeight w:val="953" w:hRule="atLeast"/>
        </w:trPr>
        <w:tc>
          <w:tcPr>
            <w:tcW w:w="321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Энергия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Соподчиненность</w:t>
            </w:r>
          </w:p>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Воля</w:t>
            </w:r>
          </w:p>
        </w:tc>
        <w:tc>
          <w:tcPr>
            <w:tcW w:w="3213" w:type="dxa"/>
            <w:vMerge w:val="restart"/>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Субъект деятельности</w:t>
            </w:r>
          </w:p>
        </w:tc>
        <w:tc>
          <w:tcPr>
            <w:tcW w:w="321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Информация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Соразмерность</w:t>
            </w:r>
          </w:p>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 xml:space="preserve">Мышление </w:t>
            </w:r>
          </w:p>
        </w:tc>
      </w:tr>
      <w:tr>
        <w:trPr>
          <w:tblHeader w:val="0"/>
          <w:trKeepWithNext w:val="0"/>
          <w:trBreak w:val="0"/>
          <w:cantSplit w:val="0"/>
          <w:trHeight w:val="0" w:hRule="auto"/>
        </w:trPr>
        <w:tc>
          <w:tcPr>
            <w:tcW w:w="321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Время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Повторяемость</w:t>
            </w:r>
          </w:p>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 xml:space="preserve">Эмоции </w:t>
            </w:r>
          </w:p>
        </w:tc>
        <w:tc>
          <w:tcPr>
            <w:tcW w:w="3213" w:type="dxa"/>
            <w:vMerge/>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tc>
        <w:tc>
          <w:tcPr>
            <w:tcW w:w="321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Пространство</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Уравновешенность</w:t>
            </w:r>
          </w:p>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 xml:space="preserve">Восприятие </w:t>
            </w:r>
          </w:p>
        </w:tc>
      </w:tr>
    </w:tbl>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i/>
          <w:color w:val="000000"/>
          <w:sz w:val="24"/>
          <w:szCs w:val="24"/>
        </w:rPr>
        <w:t>Рис. 2.</w:t>
      </w:r>
      <w:r>
        <w:rPr>
          <w:rFonts w:ascii="Times New Roman" w:hAnsi="Times New Roman"/>
          <w:color w:val="000000"/>
          <w:sz w:val="24"/>
          <w:szCs w:val="24"/>
        </w:rPr>
        <w:t xml:space="preserve"> Системное описание субъекта деятельности</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eastAsia="TimesNewRomanPSMT"/>
          <w:color w:val="000000"/>
          <w:sz w:val="24"/>
          <w:szCs w:val="24"/>
        </w:rPr>
      </w:pPr>
      <w:r>
        <w:rPr>
          <w:rFonts w:ascii="Times New Roman" w:hAnsi="Times New Roman" w:eastAsia="TimesNewRomanPSMT"/>
          <w:color w:val="000000"/>
          <w:sz w:val="24"/>
          <w:szCs w:val="24"/>
        </w:rPr>
        <w:t>Субъект деятельности представлен через основные проявления психики, которые являются психической основой для осуществления любой деятельности, тем более профессиональной. Эмоции отражают актуальное состояние субъекта деятельности на текущий момент деятельности. Восприятие обеспечивает субъекту адекватное отражение предметной среды деятельности. Мышление позволяет рационально обрабатывать поступающую информацию в контексте деятельности. Воля как энергетический процесс обуславливает качество работоспособности субъекта деятельности. Наличие здорового функционирования данных психических процессов в целом позволяют субъекту осуществлять профессиональную деятельность на должном уровне. В контексте психического функционирования субъекта деятельности выгорание можно рассматривать как вариант дисфункциональных изменений данных психических процессов. Такие изменения обуславливают снижение качества профессиональной деятельности, что как раз и является следствием выгорания. Три переменные выгорания — эмоциональное истощение, деперсонализация и редукция в этом случае соответствуют трем характеристикам системного описания и соотносятся с тремя психическими процессами субъекта деятельности — эмоции, восприятие и мышление соответственно.</w:t>
      </w:r>
    </w:p>
    <w:p>
      <w:pPr>
        <w:ind w:firstLine="284"/>
        <w:spacing w:after="0" w:line="240" w:lineRule="auto"/>
        <w:jc w:val="both"/>
        <w:rPr>
          <w:rFonts w:ascii="Times New Roman" w:hAnsi="Times New Roman" w:eastAsia="TimesNewRomanPSMT"/>
          <w:color w:val="000000"/>
          <w:sz w:val="24"/>
          <w:szCs w:val="24"/>
        </w:rPr>
      </w:pPr>
      <w:r>
        <w:rPr>
          <w:rFonts w:ascii="Times New Roman" w:hAnsi="Times New Roman" w:eastAsia="TimesNewRomanPSMT"/>
          <w:color w:val="000000"/>
          <w:sz w:val="24"/>
          <w:szCs w:val="24"/>
        </w:rPr>
        <w:t xml:space="preserve">Но если мы привязываем выгорание как сообразное состояние к субъекту деятельности, который сам выступает как система, то получается, что в классическом виде выгорание отличается неполнотой описания и не выступает как целостное явление. Для полноты описания выгорания как системного явления необходимо включение четвертой переменной как структурного элемента. Таким элементом, по нашему мнению, является мотивация, а точнее снижение мотивации, как психологический индикатор нарушения волевого процесса. В содержательном плане снижение мотивации проявляется в потере интереса к своей деятельности, ощущение бессмысленности работы и необходимости выполнения своих обязанностей как обязательств. В первую очередь это проявляется в снижении именно внутренней мотивации, такая мотивация как раз и является одним из условий для осуществления профессиональной деятельности в рамках помогающих профессий </w:t>
      </w:r>
      <w:r>
        <w:rPr>
          <w:rFonts w:ascii="Times New Roman" w:hAnsi="Times New Roman"/>
          <w:color w:val="000000"/>
          <w:sz w:val="24"/>
          <w:szCs w:val="24"/>
        </w:rPr>
        <w:t xml:space="preserve">[3]. </w:t>
      </w:r>
      <w:r>
        <w:rPr>
          <w:rFonts w:ascii="Times New Roman" w:hAnsi="Times New Roman" w:eastAsia="TimesNewRomanPSMT"/>
          <w:color w:val="000000"/>
          <w:sz w:val="24"/>
          <w:szCs w:val="24"/>
        </w:rPr>
      </w:r>
    </w:p>
    <w:p>
      <w:pPr>
        <w:ind w:firstLine="284"/>
        <w:spacing w:after="0" w:line="240" w:lineRule="auto"/>
        <w:jc w:val="both"/>
        <w:rPr>
          <w:rFonts w:ascii="Times New Roman" w:hAnsi="Times New Roman" w:eastAsia="TimesNewRomanPSMT"/>
          <w:color w:val="000000"/>
          <w:sz w:val="24"/>
          <w:szCs w:val="24"/>
        </w:rPr>
      </w:pPr>
      <w:r>
        <w:rPr>
          <w:rFonts w:ascii="Times New Roman" w:hAnsi="Times New Roman" w:eastAsia="TimesNewRomanPSMT"/>
          <w:color w:val="000000"/>
          <w:sz w:val="24"/>
          <w:szCs w:val="24"/>
        </w:rPr>
        <w:t xml:space="preserve">В свою очередь ВОЗ (World Health Organization, 2018) определяет эмоциональное выгорание в качестве синдрома и как следствие не преодоленного хронического стресса на рабочем месте. При этом признаками выгорания, по версии ВОЗ, является ощущение мотивационного или физического истощения; нарастающее психическое дистанцирование от профессиональных обязанностей или чувство негативизма или цинизма к профессиональным обязанностям; снижение работоспособности. Здесь ВОЗ смешивает мотивацию как психологическое состояние с физическим состоянием, а снижение работоспособности трактует как редукцию профессиональных достижений, что по сути своей является когнитивным процессом и характеризуется обесцениванием своих профессиональных способностей. </w:t>
      </w:r>
    </w:p>
    <w:p>
      <w:pPr>
        <w:ind w:firstLine="284"/>
        <w:spacing w:after="0" w:line="240" w:lineRule="auto"/>
        <w:jc w:val="both"/>
        <w:rPr>
          <w:rFonts w:ascii="Times New Roman" w:hAnsi="Times New Roman" w:eastAsia="TimesNewRomanPSMT"/>
          <w:color w:val="000000"/>
          <w:sz w:val="24"/>
          <w:szCs w:val="24"/>
        </w:rPr>
      </w:pPr>
      <w:r>
        <w:rPr>
          <w:rFonts w:ascii="Times New Roman" w:hAnsi="Times New Roman" w:eastAsia="TimesNewRomanPSMT"/>
          <w:color w:val="000000"/>
          <w:sz w:val="24"/>
          <w:szCs w:val="24"/>
        </w:rPr>
        <w:t>Мотивационный компонент, а точнее «снижение мотивации», выступает четвертым структурным элементом выгорания, что позволяет уже системно описать и представить выгорание как целостный феномен, используя пентабазис СПВЭИ (рис. 3).</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10"/>
        <w:tabOrder w:val="0"/>
        <w:jc w:val="center"/>
        <w:tblInd w:w="0" w:type="dxa"/>
        <w:tblW w:w="9639" w:type="dxa"/>
        <w:pPr>
          <w:spacing w:after="0" w:line="240" w:lineRule="auto"/>
          <w:jc w:val="center"/>
          <w:suppressAutoHyphens/>
          <w:hyphenationLines w:val="0"/>
          <w:widowControl w:val="0"/>
        </w:pPr>
        <w:tblLook w:val="04A0" w:firstRow="1" w:lastRow="0" w:firstColumn="1" w:lastColumn="0" w:noHBand="0" w:noVBand="1"/>
      </w:tblPr>
      <w:tblGrid>
        <w:gridCol w:w="3212"/>
        <w:gridCol w:w="3213"/>
        <w:gridCol w:w="3214"/>
      </w:tblGrid>
      <w:tr>
        <w:trPr>
          <w:tblHeader w:val="0"/>
          <w:trKeepWithNext w:val="0"/>
          <w:trBreak w:val="0"/>
          <w:cantSplit w:val="0"/>
          <w:trHeight w:val="1068" w:hRule="atLeast"/>
        </w:trPr>
        <w:tc>
          <w:tcPr>
            <w:tcW w:w="321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Энергия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Соподчиненность</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Воля</w:t>
            </w:r>
          </w:p>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Снижение мотивации</w:t>
            </w:r>
          </w:p>
        </w:tc>
        <w:tc>
          <w:tcPr>
            <w:tcW w:w="3213" w:type="dxa"/>
            <w:vMerge w:val="restart"/>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Субъект деятельности</w:t>
            </w:r>
          </w:p>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Эмоциональное выгорание</w:t>
            </w:r>
          </w:p>
        </w:tc>
        <w:tc>
          <w:tcPr>
            <w:tcW w:w="321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Информация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Соразмерность</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Мышление</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eastAsia="TimesNewRomanPSMT"/>
                <w:b/>
                <w:color w:val="000000"/>
                <w:sz w:val="24"/>
                <w:szCs w:val="24"/>
              </w:rPr>
              <w:t>Редукция профессиональных достижений</w:t>
            </w:r>
            <w:r>
              <w:rPr>
                <w:rFonts w:ascii="Times New Roman" w:hAnsi="Times New Roman"/>
                <w:color w:val="000000"/>
                <w:sz w:val="24"/>
                <w:szCs w:val="24"/>
              </w:rPr>
            </w:r>
          </w:p>
        </w:tc>
      </w:tr>
      <w:tr>
        <w:trPr>
          <w:tblHeader w:val="0"/>
          <w:trKeepWithNext w:val="0"/>
          <w:trBreak w:val="0"/>
          <w:cantSplit w:val="0"/>
          <w:trHeight w:val="1116" w:hRule="atLeast"/>
        </w:trPr>
        <w:tc>
          <w:tcPr>
            <w:tcW w:w="321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Время</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Повторяемость</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Эмоции</w:t>
            </w:r>
          </w:p>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Эмоциональное истощение</w:t>
            </w:r>
          </w:p>
        </w:tc>
        <w:tc>
          <w:tcPr>
            <w:tcW w:w="3213" w:type="dxa"/>
            <w:vMerge/>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tc>
        <w:tc>
          <w:tcPr>
            <w:tcW w:w="321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Пространство</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Уравновешенность</w:t>
            </w:r>
          </w:p>
          <w:p>
            <w:pPr>
              <w:spacing w:after="0" w:line="240" w:lineRule="auto"/>
              <w:jc w:val="center"/>
              <w:tabs defTabSz="708">
                <w:tab w:val="center" w:pos="4677" w:leader="none"/>
                <w:tab w:val="right" w:pos="9355" w:leader="none"/>
              </w:tabs>
              <w:rPr>
                <w:rFonts w:ascii="Times New Roman" w:hAnsi="Times New Roman"/>
                <w:color w:val="000000"/>
                <w:sz w:val="24"/>
                <w:szCs w:val="24"/>
              </w:rPr>
            </w:pPr>
            <w:r>
              <w:rPr>
                <w:rFonts w:ascii="Times New Roman" w:hAnsi="Times New Roman"/>
                <w:color w:val="000000"/>
                <w:sz w:val="24"/>
                <w:szCs w:val="24"/>
              </w:rPr>
              <w:t>Восприятие</w:t>
            </w:r>
          </w:p>
          <w:p>
            <w:pPr>
              <w:spacing w:after="0" w:line="240" w:lineRule="auto"/>
              <w:jc w:val="center"/>
              <w:tabs defTabSz="708">
                <w:tab w:val="center" w:pos="4677" w:leader="none"/>
                <w:tab w:val="right" w:pos="9355" w:leader="none"/>
              </w:tabs>
              <w:rPr>
                <w:rFonts w:ascii="Times New Roman" w:hAnsi="Times New Roman"/>
                <w:b/>
                <w:color w:val="000000"/>
                <w:sz w:val="24"/>
                <w:szCs w:val="24"/>
              </w:rPr>
            </w:pPr>
            <w:r>
              <w:rPr>
                <w:rFonts w:ascii="Times New Roman" w:hAnsi="Times New Roman"/>
                <w:b/>
                <w:color w:val="000000"/>
                <w:sz w:val="24"/>
                <w:szCs w:val="24"/>
              </w:rPr>
              <w:t>Деперсонализация</w:t>
            </w:r>
          </w:p>
        </w:tc>
      </w:tr>
    </w:tbl>
    <w:p>
      <w:pPr>
        <w:spacing w:after="0" w:line="240" w:lineRule="auto"/>
        <w:jc w:val="center"/>
        <w:rPr>
          <w:rFonts w:ascii="Times New Roman" w:hAnsi="Times New Roman" w:eastAsia="TimesNewRomanPSMT"/>
          <w:color w:val="000000"/>
          <w:sz w:val="24"/>
          <w:szCs w:val="24"/>
        </w:rPr>
      </w:pPr>
      <w:r>
        <w:rPr>
          <w:rFonts w:ascii="Times New Roman" w:hAnsi="Times New Roman" w:eastAsia="TimesNewRomanPSMT"/>
          <w:color w:val="000000"/>
          <w:sz w:val="24"/>
          <w:szCs w:val="24"/>
        </w:rPr>
      </w:r>
    </w:p>
    <w:p>
      <w:pPr>
        <w:spacing w:after="0" w:line="240" w:lineRule="auto"/>
        <w:jc w:val="center"/>
        <w:rPr>
          <w:rFonts w:ascii="Times New Roman" w:hAnsi="Times New Roman"/>
          <w:color w:val="000000"/>
          <w:sz w:val="24"/>
          <w:szCs w:val="24"/>
        </w:rPr>
      </w:pPr>
      <w:r>
        <w:rPr>
          <w:rFonts w:ascii="Times New Roman" w:hAnsi="Times New Roman"/>
          <w:i/>
          <w:color w:val="000000"/>
          <w:sz w:val="24"/>
          <w:szCs w:val="24"/>
        </w:rPr>
        <w:t>Рис. 3.</w:t>
      </w:r>
      <w:r>
        <w:rPr>
          <w:rFonts w:ascii="Times New Roman" w:hAnsi="Times New Roman"/>
          <w:color w:val="000000"/>
          <w:sz w:val="24"/>
          <w:szCs w:val="24"/>
        </w:rPr>
        <w:t xml:space="preserve"> Системное описание эмоционального выгорания</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color w:val="000000"/>
          <w:sz w:val="24"/>
          <w:szCs w:val="24"/>
        </w:rPr>
        <w:t>1. </w:t>
      </w:r>
      <w:r>
        <w:rPr>
          <w:rFonts w:ascii="Times New Roman" w:hAnsi="Times New Roman"/>
          <w:b/>
          <w:color w:val="000000"/>
          <w:sz w:val="24"/>
          <w:szCs w:val="24"/>
        </w:rPr>
        <w:t xml:space="preserve">Эмоциональное истощение </w:t>
      </w:r>
      <w:r>
        <w:rPr>
          <w:rFonts w:ascii="Times New Roman" w:hAnsi="Times New Roman"/>
          <w:color w:val="000000"/>
          <w:sz w:val="24"/>
          <w:szCs w:val="24"/>
        </w:rPr>
        <w:t xml:space="preserve">— временная характеристика выгорания — определяется как длительность и повторяемость </w:t>
      </w:r>
      <w:r>
        <w:rPr>
          <w:rFonts w:ascii="Times New Roman" w:hAnsi="Times New Roman" w:eastAsia="Times New Roman"/>
          <w:color w:val="000000"/>
          <w:sz w:val="24"/>
          <w:szCs w:val="24"/>
          <w:lang w:eastAsia="ru-ru"/>
        </w:rPr>
        <w:t>переживания опустошенности и состояния бессилия.</w:t>
      </w:r>
      <w:r>
        <w:rPr>
          <w:rFonts w:ascii="Times New Roman" w:hAnsi="Times New Roman" w:eastAsia="Times New Roman"/>
          <w:color w:val="000000"/>
          <w:sz w:val="24"/>
          <w:szCs w:val="24"/>
          <w:lang w:eastAsia="ru-ru"/>
        </w:rPr>
      </w:r>
    </w:p>
    <w:p>
      <w:pPr>
        <w:ind w:firstLine="284"/>
        <w:spacing w:after="0" w:line="240" w:lineRule="auto"/>
        <w:jc w:val="both"/>
        <w:outlineLv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bookmarkStart w:id="28" w:name="_Оглавление000016"/>
      <w:r/>
      <w:r>
        <w:rPr>
          <w:rFonts w:ascii="Times New Roman" w:hAnsi="Times New Roman"/>
          <w:color w:val="000000"/>
          <w:sz w:val="24"/>
          <w:szCs w:val="24"/>
        </w:rPr>
        <w:t>2. </w:t>
      </w:r>
      <w:r>
        <w:rPr>
          <w:rFonts w:ascii="Times New Roman" w:hAnsi="Times New Roman"/>
          <w:b/>
          <w:bCs/>
          <w:color w:val="000000"/>
          <w:sz w:val="24"/>
          <w:szCs w:val="24"/>
        </w:rPr>
        <w:t>Деперсонализация</w:t>
      </w:r>
      <w:r>
        <w:rPr>
          <w:rFonts w:ascii="Times New Roman" w:hAnsi="Times New Roman"/>
          <w:color w:val="000000"/>
          <w:sz w:val="24"/>
          <w:szCs w:val="24"/>
        </w:rPr>
        <w:t xml:space="preserve"> — пространственная характеристика выгорания — нарушение уравновешенности, потеря контакта с профессиональной ролью, что ведет к профессиональной деформации в виде проявления черствости, цинизма и агрессии.</w:t>
      </w:r>
      <w:r/>
      <w:bookmarkEnd w:id="28"/>
      <w:r/>
      <w:r>
        <w:rPr>
          <w:rFonts w:ascii="Times New Roman" w:hAnsi="Times New Roman"/>
          <w:color w:val="000000"/>
          <w:sz w:val="24"/>
          <w:szCs w:val="24"/>
        </w:rPr>
      </w:r>
    </w:p>
    <w:p>
      <w:pPr>
        <w:ind w:firstLine="284"/>
        <w:spacing w:after="0" w:line="240" w:lineRule="auto"/>
        <w:jc w:val="both"/>
        <w:outlineLv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color w:val="000000"/>
          <w:sz w:val="24"/>
          <w:szCs w:val="24"/>
        </w:rPr>
      </w:pPr>
      <w:r/>
      <w:bookmarkStart w:id="29" w:name="_Оглавление000017"/>
      <w:r/>
      <w:r>
        <w:rPr>
          <w:rFonts w:ascii="Times New Roman" w:hAnsi="Times New Roman"/>
          <w:color w:val="000000"/>
          <w:sz w:val="24"/>
          <w:szCs w:val="24"/>
        </w:rPr>
        <w:t>3. </w:t>
      </w:r>
      <w:r>
        <w:rPr>
          <w:rFonts w:ascii="Times New Roman" w:hAnsi="Times New Roman"/>
          <w:b/>
          <w:bCs/>
          <w:color w:val="000000"/>
          <w:sz w:val="24"/>
          <w:szCs w:val="24"/>
        </w:rPr>
        <w:t>Редукция профессиональных достижений</w:t>
      </w:r>
      <w:r>
        <w:rPr>
          <w:rFonts w:ascii="Times New Roman" w:hAnsi="Times New Roman"/>
          <w:color w:val="000000"/>
          <w:sz w:val="24"/>
          <w:szCs w:val="24"/>
        </w:rPr>
        <w:t xml:space="preserve"> — информационная характеристика — обесценивание профессиональных достижений как нарушение соразмерности поведения и когниций.</w:t>
      </w:r>
      <w:r/>
      <w:bookmarkEnd w:id="29"/>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eastAsia="TimesNewRomanPSMT"/>
          <w:color w:val="000000"/>
          <w:sz w:val="24"/>
          <w:szCs w:val="24"/>
        </w:rPr>
        <w:t>4. </w:t>
      </w:r>
      <w:r>
        <w:rPr>
          <w:rFonts w:ascii="Times New Roman" w:hAnsi="Times New Roman" w:eastAsia="TimesNewRomanPSMT"/>
          <w:b/>
          <w:color w:val="000000"/>
          <w:sz w:val="24"/>
          <w:szCs w:val="24"/>
        </w:rPr>
        <w:t>Снижение мотивации</w:t>
      </w:r>
      <w:r>
        <w:rPr>
          <w:rFonts w:ascii="Times New Roman" w:hAnsi="Times New Roman" w:eastAsia="TimesNewRomanPSMT"/>
          <w:color w:val="000000"/>
          <w:sz w:val="24"/>
          <w:szCs w:val="24"/>
        </w:rPr>
        <w:t xml:space="preserve"> — энергетическая характеристика — снижение отдачи и вовлеченности в процесс деятельности — нарушение соподчиненности внутренней и внешней мотивации как потеря смысла и </w:t>
      </w:r>
      <w:r>
        <w:rPr>
          <w:rFonts w:ascii="Times New Roman" w:hAnsi="Times New Roman" w:eastAsia="Times New Roman"/>
          <w:color w:val="000000"/>
          <w:sz w:val="24"/>
          <w:szCs w:val="24"/>
          <w:lang w:eastAsia="ru-ru"/>
        </w:rPr>
        <w:t>желания вкладывать личные усилия на рабочем месте</w:t>
      </w:r>
      <w:r>
        <w:rPr>
          <w:rFonts w:ascii="Times New Roman" w:hAnsi="Times New Roman" w:eastAsia="TimesNewRomanPSMT"/>
          <w:color w:val="000000"/>
          <w:sz w:val="24"/>
          <w:szCs w:val="24"/>
        </w:rPr>
        <w:t>.</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 данной статье мы не рассматриваем динамику процесса выгорания, его стадиальность и этапность с учетом четвертого элемента. В контексте социономических профессий, которые относятся к помогающему типу профессий, главными чертами является собственно помогающее поведение и ценностное отношение к своей профессии [3]. Мы считаем, что снижение мотивации, как потеря смысла своей работы в конкретных условиях, выступает конституирующим фактором выгорания в помогающих профессиях. В некоторых случаях именно потеря смысла, ощущение бессмысленности своей работы приводит к отчужденности, дистанцированию от клиентов/пациентов и принижению своей профессиональной участи в конкретных условиях работы. По справедливому замечанию В. С. Третьяковой, условия труда представителей помогающих профессий являются достаточно сложными, поскольку большую часть рабочего времени уходит на общение [5]. Специфика условий такого труда особенно ярко проявляется в социально-психологическом аспекте. От специалиста помогающей профессии требуется высокий самоконтроль, его помогающая деятельность сопровождается высокой психической напряженностью и высокими когнитивными нагрузками на внимание, память и мышление, от специалиста требуется проявление высокого уровня эмпатии и сенситивности в условиях эмоционально насыщенного межличностного взаимодействия. А деятельность специалиста помогающей профессии, особенно врача, психолога, психотерапевта, еще происходит в условиях повышенного требования со стороны объекта деятельности — пациента/клиента. Отсюда профессионалы, работающие в сфере здравоохранения, ухода и психологической помощи, чрезвычайно уязвимы к особому типу выгорания, называемому «усталостью от сострадания». Усталость от сострадания распространена среди помогающих специалистов, которые работают с пациентами/клиентами, у которых диагностированы хронические заболевания. Этот синдром характеризуется снижением сострадания и сочувствия к пациентам и возникает в результате постоянного повторного воздействия эмоционально истощающих переживаний, ярких образов и повторного переживания травмирующих событий посредством терапии с клиентами [6; 7].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отличие от эмоционального выгорания, усталость от сострадания более специфична, поскольку она вызывается конкретными травмами и переживаниями конкретных клиентов. Психотерапевты, психологи и социальные работники могут испытывать симптомы, сходные с посттравматическим стрессовым расстройством, и вот почему усталость от сострадания также известна как вторичный травматический стресс [6]. Основное различие между «выгоранием» и «усталостью» заключается в том, что выгорание характеризуется чувством невыполнения рабочих требований и сроков, тогда как усталость от сострадания характеризуется отчаянием и чувством вины из-за неспособности предотвратить боль и страдания пациентов [8]. И если на ранних стадиях выгорания требуется элементарная забота о себе и использование способов психоэмоционального и физического восстановления, то усталость от сострадания требует уже более серьезной терапевтической работы как максимум и как минимум участия специалиста в интервизиях, балинтовских группах и обращения к супервизору. Тем более что чрезмерная эмпатичность и желание обязательно помочь, когда результаты такой помощи неоднозначны, могут запустить процессы эмоционального истощения и снижения мотивации у специалиста, что в последующем при других сопутствующих факторах может привести к полноценному выгоранию.</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Первым шагом для предупреждения выгорания может выступить рефлексия и осознанность в плане того, чтобы задать себе ряд общих ориентировочных и в последующем сфокусированных вопросов. Первые ориентировочные вопросы являются системными и соотносятся с пентабазисом СПВЭИ.</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1. </w:t>
      </w:r>
      <w:r>
        <w:rPr>
          <w:rFonts w:ascii="Times New Roman" w:hAnsi="Times New Roman"/>
          <w:b/>
          <w:color w:val="000000"/>
          <w:sz w:val="24"/>
          <w:szCs w:val="24"/>
          <w:lang w:val="ru-ru"/>
        </w:rPr>
        <w:t>«Где Я?»</w:t>
      </w:r>
      <w:r>
        <w:rPr>
          <w:rFonts w:ascii="Times New Roman" w:hAnsi="Times New Roman"/>
          <w:color w:val="000000"/>
          <w:sz w:val="24"/>
          <w:szCs w:val="24"/>
          <w:lang w:val="ru-ru"/>
        </w:rPr>
        <w:t xml:space="preserve"> — пространственная характеристика — ответ на него — это что меня окружает в физическом смысле, т. е. где я нахожусь, что меня окружает.</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2. </w:t>
      </w:r>
      <w:r>
        <w:rPr>
          <w:rFonts w:ascii="Times New Roman" w:hAnsi="Times New Roman"/>
          <w:b/>
          <w:color w:val="000000"/>
          <w:sz w:val="24"/>
          <w:szCs w:val="24"/>
          <w:lang w:val="ru-ru"/>
        </w:rPr>
        <w:t>«Что я делаю?»</w:t>
      </w:r>
      <w:r>
        <w:rPr>
          <w:rFonts w:ascii="Times New Roman" w:hAnsi="Times New Roman"/>
          <w:color w:val="000000"/>
          <w:sz w:val="24"/>
          <w:szCs w:val="24"/>
          <w:lang w:val="ru-ru"/>
        </w:rPr>
        <w:t xml:space="preserve"> — временная характеристика — конкретно, чем я занимаюсь и что делаю сейчас. </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3. </w:t>
      </w:r>
      <w:r>
        <w:rPr>
          <w:rFonts w:ascii="Times New Roman" w:hAnsi="Times New Roman"/>
          <w:b/>
          <w:color w:val="000000"/>
          <w:sz w:val="24"/>
          <w:szCs w:val="24"/>
          <w:lang w:val="ru-ru"/>
        </w:rPr>
        <w:t>«Как я это делаю?»</w:t>
      </w:r>
      <w:r>
        <w:rPr>
          <w:rFonts w:ascii="Times New Roman" w:hAnsi="Times New Roman"/>
          <w:color w:val="000000"/>
          <w:sz w:val="24"/>
          <w:szCs w:val="24"/>
          <w:lang w:val="ru-ru"/>
        </w:rPr>
        <w:t xml:space="preserve"> — информационная характеристика — какие усилия я прикладываю, какие компетенции я использую и что у меня получается. </w:t>
      </w:r>
    </w:p>
    <w:p>
      <w:pPr>
        <w:pStyle w:val="para4"/>
        <w:ind w:left="0" w:firstLine="284"/>
        <w:spacing w:after="0" w:line="240" w:lineRule="auto"/>
        <w:contextualSpacing w:val="0"/>
        <w:jc w:val="both"/>
        <w:rPr>
          <w:rFonts w:ascii="Times New Roman" w:hAnsi="Times New Roman"/>
          <w:color w:val="000000"/>
          <w:sz w:val="24"/>
          <w:szCs w:val="24"/>
          <w:shd w:val="clear" w:fill="ffffff"/>
          <w:lang w:val="ru-ru" w:eastAsia="ru-ru"/>
        </w:rPr>
      </w:pPr>
      <w:r>
        <w:rPr>
          <w:rFonts w:ascii="Times New Roman" w:hAnsi="Times New Roman"/>
          <w:color w:val="000000"/>
          <w:sz w:val="24"/>
          <w:szCs w:val="24"/>
          <w:lang w:val="ru-ru"/>
        </w:rPr>
        <w:t>4. </w:t>
      </w:r>
      <w:r>
        <w:rPr>
          <w:rFonts w:ascii="Times New Roman" w:hAnsi="Times New Roman"/>
          <w:b/>
          <w:color w:val="000000"/>
          <w:sz w:val="24"/>
          <w:szCs w:val="24"/>
          <w:lang w:val="ru-ru"/>
        </w:rPr>
        <w:t>«Почему я это делаю?»</w:t>
      </w:r>
      <w:r>
        <w:rPr>
          <w:rFonts w:ascii="Times New Roman" w:hAnsi="Times New Roman"/>
          <w:color w:val="000000"/>
          <w:sz w:val="24"/>
          <w:szCs w:val="24"/>
          <w:lang w:val="ru-ru"/>
        </w:rPr>
        <w:t xml:space="preserve"> — энергетическая характеристика — это вопрос о смысле наших действий и поступков в реальности. </w:t>
      </w:r>
      <w:r>
        <w:rPr>
          <w:rFonts w:ascii="Times New Roman" w:hAnsi="Times New Roman"/>
          <w:color w:val="000000"/>
          <w:sz w:val="24"/>
          <w:szCs w:val="24"/>
          <w:shd w:val="clear" w:fill="ffffff"/>
          <w:lang w:val="ru-ru" w:eastAsia="ru-ru"/>
        </w:rPr>
      </w:r>
    </w:p>
    <w:p>
      <w:pPr>
        <w:ind w:firstLine="284"/>
        <w:spacing w:after="0" w:line="240" w:lineRule="auto"/>
        <w:jc w:val="both"/>
        <w:rPr>
          <w:rFonts w:ascii="Times New Roman" w:hAnsi="Times New Roman" w:eastAsia="Times New Roman"/>
          <w:color w:val="000000"/>
          <w:sz w:val="24"/>
          <w:szCs w:val="24"/>
          <w:shd w:val="clear" w:fill="ffffff"/>
          <w:lang w:eastAsia="ru-ru"/>
        </w:rPr>
      </w:pPr>
      <w:r>
        <w:rPr>
          <w:rFonts w:ascii="Times New Roman" w:hAnsi="Times New Roman" w:eastAsia="Times New Roman"/>
          <w:color w:val="000000"/>
          <w:sz w:val="24"/>
          <w:szCs w:val="24"/>
          <w:shd w:val="clear" w:fill="ffffff"/>
          <w:lang w:eastAsia="ru-ru"/>
        </w:rPr>
      </w:r>
    </w:p>
    <w:p>
      <w:pPr>
        <w:ind w:firstLine="284"/>
        <w:spacing w:after="0" w:line="240" w:lineRule="auto"/>
        <w:jc w:val="both"/>
        <w:rPr>
          <w:rFonts w:ascii="Times New Roman" w:hAnsi="Times New Roman" w:eastAsia="Times New Roman"/>
          <w:color w:val="000000"/>
          <w:sz w:val="24"/>
          <w:szCs w:val="24"/>
          <w:shd w:val="clear" w:fill="ffffff"/>
          <w:lang w:eastAsia="ru-ru"/>
        </w:rPr>
      </w:pPr>
      <w:r>
        <w:rPr>
          <w:rFonts w:ascii="Times New Roman" w:hAnsi="Times New Roman" w:eastAsia="Times New Roman"/>
          <w:color w:val="000000"/>
          <w:sz w:val="24"/>
          <w:szCs w:val="24"/>
          <w:shd w:val="clear" w:fill="ffffff"/>
          <w:lang w:eastAsia="ru-ru"/>
        </w:rPr>
        <w:t>Последний вопрос обращает нас к смысловым, экзистенциальным причинам выгорания. Вот почему стоит начать работать с выгоранием с вопросов относительно смысла моей деятельности. Предотвратить и предупредить синдром выгорания можно, задавая себя два четких сфокусированных вопроса:</w:t>
      </w:r>
    </w:p>
    <w:p>
      <w:pPr>
        <w:ind w:firstLine="284"/>
        <w:spacing w:after="0" w:line="240" w:lineRule="auto"/>
        <w:jc w:val="both"/>
        <w:rPr>
          <w:rFonts w:ascii="Times New Roman" w:hAnsi="Times New Roman" w:eastAsia="Times New Roman"/>
          <w:color w:val="000000"/>
          <w:sz w:val="24"/>
          <w:szCs w:val="24"/>
          <w:shd w:val="clear" w:fill="ffffff"/>
          <w:lang w:eastAsia="ru-ru"/>
        </w:rPr>
      </w:pPr>
      <w:r>
        <w:rPr>
          <w:rFonts w:ascii="Times New Roman" w:hAnsi="Times New Roman" w:eastAsia="Times New Roman"/>
          <w:color w:val="000000"/>
          <w:sz w:val="24"/>
          <w:szCs w:val="24"/>
          <w:shd w:val="clear" w:fill="ffffff"/>
          <w:lang w:eastAsia="ru-ru"/>
        </w:rPr>
        <w:t xml:space="preserve">1) Для чего я это делаю? Является ли то, что я делаю для меня ценностью? Какой смысл в том, что я делаю? </w:t>
      </w:r>
    </w:p>
    <w:p>
      <w:pPr>
        <w:ind w:firstLine="284"/>
        <w:spacing w:after="0" w:line="240" w:lineRule="auto"/>
        <w:jc w:val="both"/>
        <w:rPr>
          <w:rFonts w:ascii="Times New Roman" w:hAnsi="Times New Roman" w:eastAsia="Times New Roman"/>
          <w:color w:val="000000"/>
          <w:sz w:val="24"/>
          <w:szCs w:val="24"/>
          <w:shd w:val="clear" w:fill="ffffff"/>
          <w:lang w:eastAsia="ru-ru"/>
        </w:rPr>
      </w:pPr>
      <w:r>
        <w:rPr>
          <w:rFonts w:ascii="Times New Roman" w:hAnsi="Times New Roman" w:eastAsia="Times New Roman"/>
          <w:color w:val="000000"/>
          <w:sz w:val="24"/>
          <w:szCs w:val="24"/>
          <w:shd w:val="clear" w:fill="ffffff"/>
          <w:lang w:eastAsia="ru-ru"/>
        </w:rPr>
        <w:t>2) Нравится ли мне делать то, что я делаю? Люблю ли я это делать? Получаю ли я удовольствие от того, что сейчас делаю?</w:t>
      </w:r>
    </w:p>
    <w:p>
      <w:pPr>
        <w:ind w:firstLine="284"/>
        <w:spacing w:after="0" w:line="240" w:lineRule="auto"/>
        <w:jc w:val="both"/>
        <w:rPr>
          <w:rFonts w:ascii="Times New Roman" w:hAnsi="Times New Roman" w:eastAsia="Times New Roman"/>
          <w:color w:val="000000"/>
          <w:sz w:val="24"/>
          <w:szCs w:val="24"/>
          <w:shd w:val="clear" w:fill="ffffff"/>
          <w:lang w:eastAsia="ru-ru"/>
        </w:rPr>
      </w:pPr>
      <w:r>
        <w:rPr>
          <w:rFonts w:ascii="Times New Roman" w:hAnsi="Times New Roman" w:eastAsia="Times New Roman"/>
          <w:color w:val="000000"/>
          <w:sz w:val="24"/>
          <w:szCs w:val="24"/>
          <w:shd w:val="clear" w:fill="ffffff"/>
          <w:lang w:eastAsia="ru-ru"/>
        </w:rPr>
        <w:t>Ответом на эти два вопроса может служить утверждение: «Я существую, чтобы служить, делая (ЧТО?) …». Данное утверждение должно иметь личностный смысл, вдохновлять и не зависеть от обстоятельств, условий и других людей. Выгорание как состояние ставит нас перед вопросом — действительно ли я переживаю, смысл в том, что я делаю и для чего я это делаю? Переживание смысла — это переживание и ощущение личной ценности в том, что я делаю и какую ценность для других я создаю. Карьера, социальное признание, успех — это атрибуты внешней оценки и являются ложным смыслом. Следование за такими смыслами вызывает стресс и нездоровые переживания. За этим как раз и следует эмоциональное истощение — не от того, что я устал от работы, а от того, что моя работа это не создание ценности для других, а бег за ложно понятым признанием. Выгорание не происходит, если я радуюсь тому, что я делаю, то, что я делаю это важно и интересно для меня, и, несмотря на усталость, мне хочется продолжать это делать, потому что я вижу в этом смысл.</w:t>
      </w:r>
    </w:p>
    <w:p>
      <w:pPr>
        <w:ind w:firstLine="284"/>
        <w:spacing w:after="0" w:line="240" w:lineRule="auto"/>
        <w:jc w:val="both"/>
        <w:rPr>
          <w:rFonts w:ascii="Times New Roman" w:hAnsi="Times New Roman" w:eastAsia="TimesNewRomanPSMT"/>
          <w:color w:val="000000"/>
          <w:sz w:val="24"/>
          <w:szCs w:val="24"/>
        </w:rPr>
      </w:pPr>
      <w:r>
        <w:rPr>
          <w:rFonts w:ascii="Times New Roman" w:hAnsi="Times New Roman" w:eastAsia="Times New Roman"/>
          <w:color w:val="000000"/>
          <w:sz w:val="24"/>
          <w:szCs w:val="24"/>
          <w:shd w:val="clear" w:fill="ffffff"/>
          <w:lang w:eastAsia="ru-ru"/>
        </w:rPr>
        <w:t>Если вернуться к определению ВОЗ, что выгорание является следствием</w:t>
      </w:r>
      <w:r>
        <w:rPr>
          <w:rFonts w:ascii="Times New Roman" w:hAnsi="Times New Roman" w:eastAsia="TimesNewRomanPSMT"/>
          <w:color w:val="000000"/>
          <w:sz w:val="24"/>
          <w:szCs w:val="24"/>
        </w:rPr>
        <w:t xml:space="preserve"> не преодоленного хронического стресса на рабочем месте, то это в первую очередь смысловой стресс. Это стресс, когда на своем рабочем месте мы слишком долго (хронически) что-то делаем без внутреннего согласия с этим, без переживания ценности работы и ощущения своей ценности. Несправедливый начальник, конфликтные коллеги, неблагоприятные физические условия труда</w:t>
      </w:r>
      <w:r>
        <w:rPr>
          <w:rFonts w:ascii="Times New Roman" w:hAnsi="Times New Roman" w:eastAsia="TimesNewRomanPSMT"/>
          <w:color w:val="000000"/>
          <w:sz w:val="24"/>
          <w:szCs w:val="24"/>
        </w:rPr>
        <w:t xml:space="preserve"> — </w:t>
      </w:r>
      <w:r>
        <w:rPr>
          <w:rFonts w:ascii="Times New Roman" w:hAnsi="Times New Roman" w:eastAsia="TimesNewRomanPSMT"/>
          <w:color w:val="000000"/>
          <w:sz w:val="24"/>
          <w:szCs w:val="24"/>
        </w:rPr>
        <w:t xml:space="preserve">внешние стрессоры, которые можно перевести </w:t>
      </w:r>
      <w:r>
        <w:rPr>
          <w:rFonts w:ascii="Times New Roman" w:hAnsi="Times New Roman" w:eastAsia="TimesNewRomanPSMT"/>
          <w:color w:val="000000"/>
          <w:sz w:val="24"/>
          <w:szCs w:val="24"/>
        </w:rPr>
        <w:t xml:space="preserve">в </w:t>
      </w:r>
      <w:r>
        <w:rPr>
          <w:rFonts w:ascii="Times New Roman" w:hAnsi="Times New Roman" w:eastAsia="TimesNewRomanPSMT"/>
          <w:color w:val="000000"/>
          <w:sz w:val="24"/>
          <w:szCs w:val="24"/>
        </w:rPr>
        <w:t>потенциально управляемые, если та работа, какую я делаю в этих непростых условиях, для меня является смыслом. В другом случае</w:t>
      </w:r>
      <w:r>
        <w:rPr>
          <w:rFonts w:ascii="Times New Roman" w:hAnsi="Times New Roman" w:eastAsia="TimesNewRomanPSMT"/>
          <w:color w:val="000000"/>
          <w:sz w:val="24"/>
          <w:szCs w:val="24"/>
        </w:rPr>
        <w:t xml:space="preserve"> — </w:t>
      </w:r>
      <w:r>
        <w:rPr>
          <w:rFonts w:ascii="Times New Roman" w:hAnsi="Times New Roman" w:eastAsia="TimesNewRomanPSMT"/>
          <w:color w:val="000000"/>
          <w:sz w:val="24"/>
          <w:szCs w:val="24"/>
        </w:rPr>
        <w:t xml:space="preserve">это просто низкая стрессоустойчивость. Ресурсом преодоления таких внешних стрессоров и является ощущение ценности и смысла того, что я делаю. </w:t>
      </w:r>
      <w:r>
        <w:rPr>
          <w:rFonts w:ascii="Times New Roman" w:hAnsi="Times New Roman" w:eastAsia="Times New Roman"/>
          <w:color w:val="000000"/>
          <w:sz w:val="24"/>
          <w:szCs w:val="24"/>
          <w:shd w:val="clear" w:fill="ffffff"/>
          <w:lang w:eastAsia="ru-ru"/>
        </w:rPr>
        <w:t>Смысл — это продвижение к тому, что вызывает страсть и энтузиазм и позволяет преодолевать рабочие трудности. Без смысла</w:t>
      </w:r>
      <w:r>
        <w:rPr>
          <w:rFonts w:ascii="Times New Roman" w:hAnsi="Times New Roman" w:eastAsia="TimesNewRomanPSMT"/>
          <w:color w:val="000000"/>
          <w:sz w:val="24"/>
          <w:szCs w:val="24"/>
        </w:rPr>
        <w:t xml:space="preserve"> это просто функционирование, а любое функционирование всегда чувствительно к внешним ф</w:t>
      </w:r>
      <w:r>
        <w:rPr>
          <w:rFonts w:ascii="Times New Roman" w:hAnsi="Times New Roman" w:eastAsia="TimesNewRomanPSMT"/>
          <w:color w:val="000000"/>
          <w:sz w:val="24"/>
          <w:szCs w:val="24"/>
        </w:rPr>
        <w:t>акторам. Тогда для меня работа —</w:t>
      </w:r>
      <w:r>
        <w:rPr>
          <w:rFonts w:ascii="Times New Roman" w:hAnsi="Times New Roman" w:eastAsia="TimesNewRomanPSMT"/>
          <w:color w:val="000000"/>
          <w:sz w:val="24"/>
          <w:szCs w:val="24"/>
        </w:rPr>
        <w:t xml:space="preserve"> это что-то сделать ради того</w:t>
      </w:r>
      <w:r>
        <w:rPr>
          <w:rFonts w:ascii="Times New Roman" w:hAnsi="Times New Roman" w:eastAsia="TimesNewRomanPSMT"/>
          <w:color w:val="000000"/>
          <w:sz w:val="24"/>
          <w:szCs w:val="24"/>
        </w:rPr>
        <w:t>,</w:t>
      </w:r>
      <w:r>
        <w:rPr>
          <w:rFonts w:ascii="Times New Roman" w:hAnsi="Times New Roman" w:eastAsia="TimesNewRomanPSMT"/>
          <w:color w:val="000000"/>
          <w:sz w:val="24"/>
          <w:szCs w:val="24"/>
        </w:rPr>
        <w:t xml:space="preserve"> чтобы сделать, очень часто это побыстрее сделать и забыть. Но если я радуюсь тому</w:t>
      </w:r>
      <w:r>
        <w:rPr>
          <w:rFonts w:ascii="Times New Roman" w:hAnsi="Times New Roman" w:eastAsia="TimesNewRomanPSMT"/>
          <w:color w:val="000000"/>
          <w:sz w:val="24"/>
          <w:szCs w:val="24"/>
        </w:rPr>
        <w:t>,</w:t>
      </w:r>
      <w:r>
        <w:rPr>
          <w:rFonts w:ascii="Times New Roman" w:hAnsi="Times New Roman" w:eastAsia="TimesNewRomanPSMT"/>
          <w:color w:val="000000"/>
          <w:sz w:val="24"/>
          <w:szCs w:val="24"/>
        </w:rPr>
        <w:t xml:space="preserve"> что уже это прошло и это не оставляет след в памяти, то это показатель отсутствия переживания ценности этой деятельности, отсутствия интереса к этой деятельности и снижение желания возвращаться к этой деятельно</w:t>
      </w:r>
      <w:r>
        <w:rPr>
          <w:rFonts w:ascii="Times New Roman" w:hAnsi="Times New Roman" w:eastAsia="TimesNewRomanPSMT"/>
          <w:color w:val="000000"/>
          <w:sz w:val="24"/>
          <w:szCs w:val="24"/>
        </w:rPr>
        <w:t>сти, а только по необходимости —</w:t>
      </w:r>
      <w:r>
        <w:rPr>
          <w:rFonts w:ascii="Times New Roman" w:hAnsi="Times New Roman" w:eastAsia="TimesNewRomanPSMT"/>
          <w:color w:val="000000"/>
          <w:sz w:val="24"/>
          <w:szCs w:val="24"/>
        </w:rPr>
        <w:t xml:space="preserve"> это тирания долга. Ощущение необходимости и </w:t>
      </w:r>
      <w:r>
        <w:rPr>
          <w:rFonts w:ascii="Times New Roman" w:hAnsi="Times New Roman" w:eastAsia="TimesNewRomanPSMT"/>
          <w:color w:val="000000"/>
          <w:sz w:val="24"/>
          <w:szCs w:val="24"/>
        </w:rPr>
        <w:t>вынуж</w:t>
      </w:r>
      <w:r>
        <w:rPr>
          <w:rFonts w:ascii="Times New Roman" w:hAnsi="Times New Roman" w:eastAsia="TimesNewRomanPSMT"/>
          <w:color w:val="000000"/>
          <w:sz w:val="24"/>
          <w:szCs w:val="24"/>
        </w:rPr>
        <w:t>де</w:t>
      </w:r>
      <w:r>
        <w:rPr>
          <w:rFonts w:ascii="Times New Roman" w:hAnsi="Times New Roman" w:eastAsia="TimesNewRomanPSMT"/>
          <w:color w:val="000000"/>
          <w:sz w:val="24"/>
          <w:szCs w:val="24"/>
        </w:rPr>
        <w:t>нности</w:t>
      </w:r>
      <w:r>
        <w:rPr>
          <w:rFonts w:ascii="Times New Roman" w:hAnsi="Times New Roman" w:eastAsia="TimesNewRomanPSMT"/>
          <w:color w:val="000000"/>
          <w:sz w:val="24"/>
          <w:szCs w:val="24"/>
        </w:rPr>
        <w:t xml:space="preserve"> что-то делать не является хорошим подспорьем для благо</w:t>
      </w:r>
      <w:r>
        <w:rPr>
          <w:rFonts w:ascii="Times New Roman" w:hAnsi="Times New Roman" w:eastAsia="TimesNewRomanPSMT"/>
          <w:color w:val="000000"/>
          <w:sz w:val="24"/>
          <w:szCs w:val="24"/>
        </w:rPr>
        <w:t>получия вообще и на рабочем месте тоже. Но когда долг и обязательство, которые мы неизбежно берем на себя как профессионалы</w:t>
      </w:r>
      <w:r>
        <w:rPr>
          <w:rFonts w:ascii="Times New Roman" w:hAnsi="Times New Roman" w:eastAsia="TimesNewRomanPSMT"/>
          <w:color w:val="000000"/>
          <w:sz w:val="24"/>
          <w:szCs w:val="24"/>
        </w:rPr>
        <w:t>,</w:t>
      </w:r>
      <w:r>
        <w:rPr>
          <w:rFonts w:ascii="Times New Roman" w:hAnsi="Times New Roman" w:eastAsia="TimesNewRomanPSMT"/>
          <w:color w:val="000000"/>
          <w:sz w:val="24"/>
          <w:szCs w:val="24"/>
        </w:rPr>
        <w:t xml:space="preserve"> сопровожда</w:t>
      </w:r>
      <w:r>
        <w:rPr>
          <w:rFonts w:ascii="Times New Roman" w:hAnsi="Times New Roman" w:eastAsia="TimesNewRomanPSMT"/>
          <w:color w:val="000000"/>
          <w:sz w:val="24"/>
          <w:szCs w:val="24"/>
        </w:rPr>
        <w:t>ю</w:t>
      </w:r>
      <w:r>
        <w:rPr>
          <w:rFonts w:ascii="Times New Roman" w:hAnsi="Times New Roman" w:eastAsia="TimesNewRomanPSMT"/>
          <w:color w:val="000000"/>
          <w:sz w:val="24"/>
          <w:szCs w:val="24"/>
        </w:rPr>
        <w:t>тся внутренним согласием в отношении того что делаем, то это защищает нас от выгорания и от профессиональной деформации.</w:t>
      </w:r>
      <w:r>
        <w:rPr>
          <w:rFonts w:ascii="Times New Roman" w:hAnsi="Times New Roman" w:eastAsia="TimesNewRomanPSMT"/>
          <w:color w:val="000000"/>
          <w:sz w:val="24"/>
          <w:szCs w:val="24"/>
        </w:rPr>
      </w:r>
    </w:p>
    <w:p>
      <w:pPr>
        <w:ind w:firstLine="284"/>
        <w:spacing w:after="0" w:line="240" w:lineRule="auto"/>
        <w:jc w:val="both"/>
        <w:rPr>
          <w:rFonts w:ascii="Times New Roman" w:hAnsi="Times New Roman" w:eastAsia="TimesNewRomanPSMT"/>
          <w:color w:val="000000"/>
          <w:sz w:val="24"/>
          <w:szCs w:val="24"/>
        </w:rPr>
      </w:pPr>
      <w:r>
        <w:rPr>
          <w:rFonts w:ascii="Times New Roman" w:hAnsi="Times New Roman" w:eastAsia="TimesNewRomanPSMT"/>
          <w:color w:val="000000"/>
          <w:sz w:val="24"/>
          <w:szCs w:val="24"/>
        </w:rPr>
      </w:r>
    </w:p>
    <w:p>
      <w:pPr>
        <w:spacing w:after="0" w:line="240" w:lineRule="auto"/>
        <w:jc w:val="center"/>
        <w:rPr>
          <w:rFonts w:ascii="Times New Roman" w:hAnsi="Times New Roman" w:eastAsia="Times New Roman"/>
          <w:b/>
          <w:color w:val="000000"/>
          <w:sz w:val="24"/>
          <w:szCs w:val="24"/>
          <w:shd w:val="clear" w:fill="ffffff"/>
          <w:lang w:eastAsia="ru-ru"/>
        </w:rPr>
      </w:pPr>
      <w:r>
        <w:rPr>
          <w:rFonts w:ascii="Times New Roman" w:hAnsi="Times New Roman" w:eastAsia="Times New Roman"/>
          <w:b/>
          <w:color w:val="000000"/>
          <w:sz w:val="24"/>
          <w:szCs w:val="24"/>
          <w:shd w:val="clear" w:fill="ffffff"/>
          <w:lang w:eastAsia="ru-ru"/>
        </w:rPr>
        <w:t>Список литературы</w:t>
      </w:r>
    </w:p>
    <w:p>
      <w:pPr>
        <w:ind w:firstLine="284"/>
        <w:spacing w:after="0" w:line="240" w:lineRule="auto"/>
        <w:jc w:val="both"/>
        <w:rPr>
          <w:rFonts w:ascii="Times New Roman" w:hAnsi="Times New Roman" w:eastAsia="Times New Roman"/>
          <w:b/>
          <w:color w:val="000000"/>
          <w:sz w:val="24"/>
          <w:szCs w:val="24"/>
          <w:shd w:val="clear" w:fill="ffffff"/>
          <w:lang w:eastAsia="ru-ru"/>
        </w:rPr>
      </w:pPr>
      <w:r>
        <w:rPr>
          <w:rFonts w:ascii="Times New Roman" w:hAnsi="Times New Roman" w:eastAsia="Times New Roman"/>
          <w:b/>
          <w:color w:val="000000"/>
          <w:sz w:val="24"/>
          <w:szCs w:val="24"/>
          <w:shd w:val="clear" w:fill="ffffff"/>
          <w:lang w:eastAsia="ru-ru"/>
        </w:rPr>
      </w:r>
    </w:p>
    <w:p>
      <w:pPr>
        <w:ind w:firstLine="284"/>
        <w:spacing w:after="0" w:line="240" w:lineRule="auto"/>
        <w:jc w:val="both"/>
        <w:tabs defTabSz="708">
          <w:tab w:val="left" w:pos="426"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bCs/>
          <w:color w:val="000000"/>
          <w:sz w:val="24"/>
          <w:szCs w:val="24"/>
        </w:rPr>
      </w:pPr>
      <w:r>
        <w:rPr>
          <w:rFonts w:ascii="Times New Roman" w:hAnsi="Times New Roman"/>
          <w:bCs/>
          <w:color w:val="000000"/>
          <w:sz w:val="24"/>
          <w:szCs w:val="24"/>
        </w:rPr>
        <w:t>1. </w:t>
      </w:r>
      <w:r>
        <w:rPr>
          <w:rFonts w:ascii="Times New Roman" w:hAnsi="Times New Roman"/>
          <w:bCs/>
          <w:i/>
          <w:color w:val="000000"/>
          <w:sz w:val="24"/>
          <w:szCs w:val="24"/>
        </w:rPr>
        <w:t>Ганзен В. А</w:t>
      </w:r>
      <w:r>
        <w:rPr>
          <w:rFonts w:ascii="Times New Roman" w:hAnsi="Times New Roman"/>
          <w:bCs/>
          <w:color w:val="000000"/>
          <w:sz w:val="24"/>
          <w:szCs w:val="24"/>
        </w:rPr>
        <w:t>. Системные описания в психологии / В. А. Ганзен. — Ленинград : Изд-во ЛГУ, 1984. — 176 с.</w:t>
      </w:r>
    </w:p>
    <w:p>
      <w:pPr>
        <w:ind w:firstLine="284"/>
        <w:spacing w:after="0" w:line="240" w:lineRule="auto"/>
        <w:jc w:val="both"/>
        <w:rPr>
          <w:rFonts w:ascii="Times New Roman" w:hAnsi="Times New Roman" w:eastAsia="Times New Roman"/>
          <w:color w:val="000000"/>
          <w:sz w:val="24"/>
          <w:szCs w:val="24"/>
          <w:lang w:eastAsia="ru-ru"/>
        </w:rPr>
      </w:pPr>
      <w:r>
        <w:rPr>
          <w:rFonts w:ascii="Times New Roman" w:hAnsi="Times New Roman" w:eastAsia="Times New Roman"/>
          <w:iCs/>
          <w:color w:val="000000"/>
          <w:sz w:val="24"/>
          <w:szCs w:val="24"/>
          <w:lang w:eastAsia="ru-ru"/>
        </w:rPr>
        <w:t>2. </w:t>
      </w:r>
      <w:r>
        <w:rPr>
          <w:rFonts w:ascii="Times New Roman" w:hAnsi="Times New Roman" w:eastAsia="Times New Roman"/>
          <w:i/>
          <w:iCs/>
          <w:color w:val="000000"/>
          <w:sz w:val="24"/>
          <w:szCs w:val="24"/>
          <w:lang w:eastAsia="ru-ru"/>
        </w:rPr>
        <w:t>Козлова К. В</w:t>
      </w:r>
      <w:r>
        <w:rPr>
          <w:rFonts w:ascii="Times New Roman" w:hAnsi="Times New Roman" w:eastAsia="Times New Roman"/>
          <w:iCs/>
          <w:color w:val="000000"/>
          <w:sz w:val="24"/>
          <w:szCs w:val="24"/>
          <w:lang w:eastAsia="ru-ru"/>
        </w:rPr>
        <w:t xml:space="preserve">. Понятие «выгорание» в психологии: анализ и обобщение подходов / К. В. Козлова, О. И. Муравьева, Г. С. Корытова // Научно-педагогическое обозрение. — 2019. — № 1 (23). — С. 18—27. </w:t>
      </w:r>
      <w:r>
        <w:rPr>
          <w:rFonts w:ascii="Times New Roman" w:hAnsi="Times New Roman" w:eastAsia="Times New Roman"/>
          <w:color w:val="000000"/>
          <w:sz w:val="24"/>
          <w:szCs w:val="24"/>
          <w:lang w:eastAsia="ru-ru"/>
        </w:rPr>
      </w:r>
    </w:p>
    <w:p>
      <w:pPr>
        <w:ind w:firstLine="284"/>
        <w:spacing w:after="0" w:line="240" w:lineRule="auto"/>
        <w:jc w:val="both"/>
        <w:rPr>
          <w:rFonts w:ascii="Times New Roman" w:hAnsi="Times New Roman" w:eastAsia="Times New Roman"/>
          <w:color w:val="000000"/>
          <w:sz w:val="24"/>
          <w:szCs w:val="24"/>
          <w:shd w:val="clear" w:fill="ffffff"/>
          <w:lang w:eastAsia="ru-ru"/>
        </w:rPr>
      </w:pPr>
      <w:r>
        <w:rPr>
          <w:rFonts w:ascii="Times New Roman" w:hAnsi="Times New Roman"/>
          <w:color w:val="000000"/>
          <w:sz w:val="24"/>
          <w:szCs w:val="24"/>
        </w:rPr>
        <w:t>3. </w:t>
      </w:r>
      <w:r>
        <w:rPr>
          <w:rFonts w:ascii="Times New Roman" w:hAnsi="Times New Roman"/>
          <w:i/>
          <w:color w:val="000000"/>
          <w:sz w:val="24"/>
          <w:szCs w:val="24"/>
        </w:rPr>
        <w:t>Кочетков Н. В</w:t>
      </w:r>
      <w:r>
        <w:rPr>
          <w:rFonts w:ascii="Times New Roman" w:hAnsi="Times New Roman"/>
          <w:color w:val="000000"/>
          <w:sz w:val="24"/>
          <w:szCs w:val="24"/>
        </w:rPr>
        <w:t xml:space="preserve">. Помогающие профессии в новых экономических условиях / Н. В. Кочетков. — </w:t>
      </w:r>
      <w:r>
        <w:rPr>
          <w:rFonts w:ascii="Times New Roman" w:hAnsi="Times New Roman"/>
          <w:color w:val="000000"/>
          <w:sz w:val="24"/>
          <w:szCs w:val="24"/>
          <w:lang w:val="en-us"/>
        </w:rPr>
        <w:t>URL</w:t>
      </w:r>
      <w:r>
        <w:rPr>
          <w:rFonts w:ascii="Times New Roman" w:hAnsi="Times New Roman"/>
          <w:color w:val="000000"/>
          <w:sz w:val="24"/>
          <w:szCs w:val="24"/>
        </w:rPr>
        <w:t xml:space="preserve">: </w:t>
      </w:r>
      <w:r>
        <w:rPr>
          <w:rStyle w:val="char4"/>
          <w:rFonts w:ascii="Times New Roman" w:hAnsi="Times New Roman"/>
          <w:color w:val="000000"/>
          <w:sz w:val="24"/>
          <w:szCs w:val="24"/>
          <w:u w:color="auto" w:val="none"/>
          <w:hyperlink r:id="rId21"/>
        </w:rPr>
        <w:t>http://scepsis.net/library/id_3322.html</w:t>
      </w:r>
      <w:r>
        <w:rPr>
          <w:rFonts w:ascii="Times New Roman" w:hAnsi="Times New Roman"/>
          <w:sz w:val="24"/>
          <w:szCs w:val="24"/>
        </w:rPr>
        <w:t xml:space="preserve"> (дата обращения: 11.10.2023). — </w:t>
      </w:r>
      <w:r>
        <w:rPr>
          <w:rFonts w:ascii="Times New Roman" w:hAnsi="Times New Roman"/>
          <w:sz w:val="24"/>
          <w:szCs w:val="24"/>
        </w:rPr>
        <w:t>Текст :</w:t>
      </w:r>
      <w:r>
        <w:rPr>
          <w:rFonts w:ascii="Times New Roman" w:hAnsi="Times New Roman"/>
          <w:sz w:val="24"/>
          <w:szCs w:val="24"/>
        </w:rPr>
        <w:t xml:space="preserve"> электронный.</w:t>
      </w:r>
      <w:r>
        <w:rPr>
          <w:rFonts w:ascii="Times New Roman" w:hAnsi="Times New Roman" w:eastAsia="Times New Roman"/>
          <w:color w:val="000000"/>
          <w:sz w:val="24"/>
          <w:szCs w:val="24"/>
          <w:shd w:val="clear" w:fill="ffffff"/>
          <w:lang w:eastAsia="ru-ru"/>
        </w:rPr>
      </w:r>
    </w:p>
    <w:p>
      <w:pPr>
        <w:ind w:firstLine="284"/>
        <w:spacing w:after="0" w:line="240" w:lineRule="auto"/>
        <w:jc w:val="both"/>
        <w:rPr>
          <w:rFonts w:ascii="Times New Roman" w:hAnsi="Times New Roman"/>
          <w:color w:val="000000"/>
          <w:sz w:val="24"/>
          <w:szCs w:val="24"/>
        </w:rPr>
      </w:pPr>
      <w:r>
        <w:rPr>
          <w:rFonts w:ascii="Times New Roman" w:hAnsi="Times New Roman"/>
          <w:iCs/>
          <w:color w:val="000000"/>
          <w:sz w:val="24"/>
          <w:szCs w:val="24"/>
        </w:rPr>
        <w:t>4. </w:t>
      </w:r>
      <w:r>
        <w:rPr>
          <w:rFonts w:ascii="Times New Roman" w:hAnsi="Times New Roman"/>
          <w:i/>
          <w:iCs/>
          <w:color w:val="000000"/>
          <w:sz w:val="24"/>
          <w:szCs w:val="24"/>
        </w:rPr>
        <w:t>Ронгинская Т. И</w:t>
      </w:r>
      <w:r>
        <w:rPr>
          <w:rFonts w:ascii="Times New Roman" w:hAnsi="Times New Roman"/>
          <w:iCs/>
          <w:color w:val="000000"/>
          <w:sz w:val="24"/>
          <w:szCs w:val="24"/>
        </w:rPr>
        <w:t xml:space="preserve">. </w:t>
      </w:r>
      <w:r>
        <w:rPr>
          <w:rFonts w:ascii="Times New Roman" w:hAnsi="Times New Roman"/>
          <w:color w:val="000000"/>
          <w:sz w:val="24"/>
          <w:szCs w:val="24"/>
        </w:rPr>
        <w:t xml:space="preserve">Системный подход к анализу психологических понятий: вклад В. А. Ганзена в развитие российской психологии </w:t>
      </w:r>
      <w:r>
        <w:rPr>
          <w:rFonts w:ascii="Times New Roman" w:hAnsi="Times New Roman"/>
          <w:iCs/>
          <w:color w:val="000000"/>
          <w:sz w:val="24"/>
          <w:szCs w:val="24"/>
        </w:rPr>
        <w:t>/ Т. И. Ронгинская // Вестник СПбГУ. Психология. — 2022. — Т. 12, вып. 1</w:t>
      </w:r>
      <w:r>
        <w:rPr>
          <w:rFonts w:ascii="Times New Roman" w:hAnsi="Times New Roman"/>
          <w:color w:val="000000"/>
          <w:sz w:val="24"/>
          <w:szCs w:val="24"/>
        </w:rPr>
        <w:t xml:space="preserve">57. — </w:t>
      </w:r>
      <w:r>
        <w:rPr>
          <w:rFonts w:ascii="Times New Roman" w:hAnsi="Times New Roman"/>
          <w:color w:val="000000"/>
          <w:sz w:val="24"/>
          <w:szCs w:val="24"/>
          <w:shd w:val="clear" w:fill="ffffff"/>
        </w:rPr>
        <w:t>С. 55—70.</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5. </w:t>
      </w:r>
      <w:r>
        <w:rPr>
          <w:rFonts w:ascii="Times New Roman" w:hAnsi="Times New Roman"/>
          <w:i/>
          <w:color w:val="000000"/>
          <w:sz w:val="24"/>
          <w:szCs w:val="24"/>
          <w:shd w:val="clear" w:fill="ffffff"/>
        </w:rPr>
        <w:t>Третьякова В. С</w:t>
      </w:r>
      <w:r>
        <w:rPr>
          <w:rFonts w:ascii="Times New Roman" w:hAnsi="Times New Roman"/>
          <w:color w:val="000000"/>
          <w:sz w:val="24"/>
          <w:szCs w:val="24"/>
          <w:shd w:val="clear" w:fill="ffffff"/>
        </w:rPr>
        <w:t>. Социономические профессии в парадигме социопсихологических требований к субъекту профессиональной деятельности / В. С. Третьякова // Акмеология профессионального образования : материалы 14-й Всероссийской научно-практической конференции, 14—15 марта 2018 г., Екатеринбург. — Екатеринбург : Изд-во РГППУ, 2018. — С. 151—156.</w:t>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6. </w:t>
      </w:r>
      <w:r>
        <w:rPr>
          <w:rFonts w:ascii="Times New Roman" w:hAnsi="Times New Roman"/>
          <w:i/>
          <w:color w:val="000000"/>
          <w:sz w:val="24"/>
          <w:szCs w:val="24"/>
          <w:lang w:val="en-us"/>
        </w:rPr>
        <w:t>Bride B. E</w:t>
      </w:r>
      <w:r>
        <w:rPr>
          <w:rFonts w:ascii="Times New Roman" w:hAnsi="Times New Roman"/>
          <w:color w:val="000000"/>
          <w:sz w:val="24"/>
          <w:szCs w:val="24"/>
          <w:lang w:val="en-us"/>
        </w:rPr>
        <w:t xml:space="preserve">. Measuring compassion fatigue / B. E. Bride, M. Radey, C. R. Figley // Clinical Social Work Journal. — 2007. — Vol. 35 (3). — </w:t>
      </w:r>
      <w:r>
        <w:rPr>
          <w:rFonts w:ascii="Times New Roman" w:hAnsi="Times New Roman" w:eastAsia="Times New Roman"/>
          <w:color w:val="000000"/>
          <w:sz w:val="24"/>
          <w:szCs w:val="24"/>
          <w:lang w:val="en-us" w:eastAsia="ru-ru"/>
        </w:rPr>
        <w:t>P.</w:t>
      </w:r>
      <w:r>
        <w:rPr>
          <w:rFonts w:ascii="Times New Roman" w:hAnsi="Times New Roman"/>
          <w:color w:val="000000"/>
          <w:sz w:val="24"/>
          <w:szCs w:val="24"/>
          <w:lang w:val="en-us"/>
        </w:rPr>
        <w:t> 155—163.</w:t>
      </w:r>
    </w:p>
    <w:p>
      <w:pPr>
        <w:ind w:firstLine="284"/>
        <w:spacing w:after="0" w:line="240" w:lineRule="auto"/>
        <w:jc w:val="both"/>
        <w:rPr>
          <w:rFonts w:ascii="Times New Roman" w:hAnsi="Times New Roman" w:eastAsia="Times New Roman"/>
          <w:color w:val="000000"/>
          <w:sz w:val="24"/>
          <w:szCs w:val="24"/>
          <w:lang w:val="en-us" w:eastAsia="ru-ru"/>
        </w:rPr>
      </w:pPr>
      <w:r>
        <w:rPr>
          <w:rFonts w:ascii="Times New Roman" w:hAnsi="Times New Roman" w:eastAsia="Times New Roman"/>
          <w:color w:val="000000"/>
          <w:sz w:val="24"/>
          <w:szCs w:val="24"/>
          <w:lang w:val="en-us" w:eastAsia="ru-ru"/>
        </w:rPr>
        <w:t>7. </w:t>
      </w:r>
      <w:r>
        <w:rPr>
          <w:rFonts w:ascii="Times New Roman" w:hAnsi="Times New Roman" w:eastAsia="Times New Roman"/>
          <w:i/>
          <w:color w:val="000000"/>
          <w:sz w:val="24"/>
          <w:szCs w:val="24"/>
          <w:lang w:val="en-us" w:eastAsia="ru-ru"/>
        </w:rPr>
        <w:t>Figley C. R</w:t>
      </w:r>
      <w:r>
        <w:rPr>
          <w:rFonts w:ascii="Times New Roman" w:hAnsi="Times New Roman" w:eastAsia="Times New Roman"/>
          <w:color w:val="000000"/>
          <w:sz w:val="24"/>
          <w:szCs w:val="24"/>
          <w:lang w:val="en-us" w:eastAsia="ru-ru"/>
        </w:rPr>
        <w:t xml:space="preserve">. Compassion fatigue: Psychotherapists’ chronic lack of self-care / C. R. Figley // </w:t>
      </w:r>
      <w:r>
        <w:rPr>
          <w:rFonts w:ascii="Times New Roman" w:hAnsi="Times New Roman" w:eastAsia="Times New Roman"/>
          <w:iCs/>
          <w:color w:val="000000"/>
          <w:sz w:val="24"/>
          <w:szCs w:val="24"/>
          <w:lang w:val="en-us" w:eastAsia="ru-ru"/>
        </w:rPr>
        <w:t>Journal of Clinical Psychology</w:t>
      </w:r>
      <w:r>
        <w:rPr>
          <w:rFonts w:ascii="Times New Roman" w:hAnsi="Times New Roman" w:eastAsia="Times New Roman"/>
          <w:color w:val="000000"/>
          <w:sz w:val="24"/>
          <w:szCs w:val="24"/>
          <w:lang w:val="en-us" w:eastAsia="ru-ru"/>
        </w:rPr>
        <w:t>. — 2002. — Vol. </w:t>
      </w:r>
      <w:r>
        <w:rPr>
          <w:rFonts w:ascii="Times New Roman" w:hAnsi="Times New Roman" w:eastAsia="Times New Roman"/>
          <w:iCs/>
          <w:color w:val="000000"/>
          <w:sz w:val="24"/>
          <w:szCs w:val="24"/>
          <w:lang w:val="en-us" w:eastAsia="ru-ru"/>
        </w:rPr>
        <w:t>58 </w:t>
      </w:r>
      <w:r>
        <w:rPr>
          <w:rFonts w:ascii="Times New Roman" w:hAnsi="Times New Roman" w:eastAsia="Times New Roman"/>
          <w:color w:val="000000"/>
          <w:sz w:val="24"/>
          <w:szCs w:val="24"/>
          <w:lang w:val="en-us" w:eastAsia="ru-ru"/>
        </w:rPr>
        <w:t>(11). — P. 1433—1441.</w:t>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t>8. </w:t>
      </w:r>
      <w:r>
        <w:rPr>
          <w:rFonts w:ascii="Times New Roman" w:hAnsi="Times New Roman"/>
          <w:i/>
          <w:color w:val="000000"/>
          <w:sz w:val="24"/>
          <w:szCs w:val="24"/>
          <w:lang w:val="en-us"/>
        </w:rPr>
        <w:t>Yoder E. A</w:t>
      </w:r>
      <w:r>
        <w:rPr>
          <w:rFonts w:ascii="Times New Roman" w:hAnsi="Times New Roman"/>
          <w:color w:val="000000"/>
          <w:sz w:val="24"/>
          <w:szCs w:val="24"/>
          <w:lang w:val="en-us"/>
        </w:rPr>
        <w:t xml:space="preserve">. Compassion fatigue in nurses / E. A. Yoder // Applied Nursing Research. — 2010. — Vol. 23 (4). — </w:t>
      </w:r>
      <w:r>
        <w:rPr>
          <w:rFonts w:ascii="Times New Roman" w:hAnsi="Times New Roman" w:eastAsia="Times New Roman"/>
          <w:color w:val="000000"/>
          <w:sz w:val="24"/>
          <w:szCs w:val="24"/>
          <w:lang w:val="en-us" w:eastAsia="ru-ru"/>
        </w:rPr>
        <w:t>P. </w:t>
      </w:r>
      <w:r>
        <w:rPr>
          <w:rFonts w:ascii="Times New Roman" w:hAnsi="Times New Roman"/>
          <w:color w:val="000000"/>
          <w:sz w:val="24"/>
          <w:szCs w:val="24"/>
          <w:lang w:val="en-us"/>
        </w:rPr>
        <w:t>191—197.</w:t>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r>
    </w:p>
    <w:p>
      <w:pPr>
        <w:ind w:firstLine="284"/>
        <w:spacing w:after="0" w:line="240" w:lineRule="auto"/>
        <w:jc w:val="both"/>
        <w:rPr>
          <w:rFonts w:ascii="Times New Roman" w:hAnsi="Times New Roman"/>
          <w:b/>
          <w:i/>
          <w:color w:val="000000"/>
          <w:sz w:val="24"/>
          <w:szCs w:val="24"/>
          <w:lang w:val="en-us"/>
        </w:rPr>
      </w:pPr>
      <w:r>
        <w:rPr>
          <w:rFonts w:ascii="Times New Roman" w:hAnsi="Times New Roman"/>
          <w:b/>
          <w:i/>
          <w:color w:val="000000"/>
          <w:sz w:val="24"/>
          <w:szCs w:val="24"/>
          <w:lang w:val="en-us"/>
        </w:rPr>
      </w:r>
    </w:p>
    <w:p>
      <w:pPr>
        <w:pStyle w:val="para17"/>
      </w:pPr>
      <w:r>
        <w:br w:type="page"/>
      </w:r>
      <w:bookmarkStart w:id="30" w:name="_Оглавление000024"/>
      <w:r/>
      <w:bookmarkStart w:id="31" w:name="_Оглавление000018"/>
      <w:r/>
      <w:r>
        <w:rPr>
          <w:rFonts w:ascii="Symbol" w:hAnsi="Symbol" w:eastAsia="Symbol" w:cs="Symbol"/>
          <w:bCs w:val="0"/>
          <w:iCs w:val="0"/>
          <w:color w:val="ffffff"/>
          <w:kern w:val="1" kern="1"/>
          <w:lang w:eastAsia="zh-cn"/>
        </w:rPr>
        <w:t xml:space="preserve">© </w:t>
      </w:r>
      <w:r>
        <w:t>И. Ю. Оксина</w:t>
      </w:r>
      <w:bookmarkEnd w:id="31"/>
      <w:r>
        <w:t xml:space="preserve"> </w:t>
      </w:r>
      <w:bookmarkEnd w:id="30"/>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ФГБОУ ВО «Петрозаводский государственный университет»</w:t>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г. Петрозаводск, Россия</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pStyle w:val="para16"/>
      </w:pPr>
      <w:bookmarkStart w:id="32" w:name="_Оглавление000019"/>
      <w:r>
        <w:t>ЛИДЕРСКИЕ КАЧЕСТВА СТУДЕНТОВ — БУДУЩИХ УЧИТЕЛЕЙ</w:t>
      </w:r>
      <w:bookmarkEnd w:id="32"/>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 xml:space="preserve">Аннотация. </w:t>
      </w:r>
      <w:r>
        <w:rPr>
          <w:rFonts w:ascii="Times New Roman" w:hAnsi="Times New Roman"/>
          <w:color w:val="000000"/>
          <w:sz w:val="24"/>
          <w:szCs w:val="24"/>
        </w:rPr>
        <w:t xml:space="preserve">В данной статье рассматривается проблема лидерства в образовательном учреждении. Эффективность педагогической деятельности обусловлена наличием у профессионала педагогических способностей, в том числе лидерских. Исследование ставит задачи диагностики и развития лидерских качеств студентов — будущих учителей. Результаты исследования свидетельствуют о необходимости формировать готовность студентов быть лидером в группе обучающихся. </w:t>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Ключевые слова:</w:t>
      </w:r>
      <w:r>
        <w:rPr>
          <w:rFonts w:ascii="Times New Roman" w:hAnsi="Times New Roman"/>
          <w:i/>
          <w:color w:val="000000"/>
          <w:sz w:val="24"/>
          <w:szCs w:val="24"/>
        </w:rPr>
        <w:t xml:space="preserve"> </w:t>
      </w:r>
      <w:r>
        <w:rPr>
          <w:rFonts w:ascii="Times New Roman" w:hAnsi="Times New Roman"/>
          <w:color w:val="000000"/>
          <w:sz w:val="24"/>
          <w:szCs w:val="24"/>
        </w:rPr>
        <w:t>лидерство, руководство, лидерские качества, студенческий возраст.</w:t>
      </w:r>
    </w:p>
    <w:p>
      <w:pPr>
        <w:ind w:firstLine="284"/>
        <w:spacing w:after="0" w:line="240" w:lineRule="auto"/>
        <w:jc w:val="both"/>
        <w:rPr>
          <w:rFonts w:ascii="Times New Roman" w:hAnsi="Times New Roman"/>
          <w:b/>
          <w:i/>
          <w:color w:val="000000"/>
          <w:sz w:val="24"/>
          <w:szCs w:val="24"/>
        </w:rPr>
      </w:pPr>
      <w:r>
        <w:rPr>
          <w:rFonts w:ascii="Times New Roman" w:hAnsi="Times New Roman"/>
          <w:b/>
          <w:i/>
          <w:color w:val="000000"/>
          <w:sz w:val="24"/>
          <w:szCs w:val="24"/>
        </w:rPr>
      </w:r>
    </w:p>
    <w:p>
      <w:pPr>
        <w:ind w:firstLine="284"/>
        <w:spacing w:after="0" w:line="240" w:lineRule="auto"/>
        <w:jc w:val="right"/>
        <w:rPr>
          <w:rFonts w:ascii="Times New Roman" w:hAnsi="Times New Roman"/>
          <w:b/>
          <w:i/>
          <w:color w:val="000000"/>
          <w:sz w:val="24"/>
          <w:szCs w:val="24"/>
          <w:lang w:val="en-us"/>
        </w:rPr>
      </w:pPr>
      <w:r>
        <w:rPr>
          <w:rFonts w:ascii="Times New Roman" w:hAnsi="Times New Roman"/>
          <w:b/>
          <w:i/>
          <w:color w:val="000000"/>
          <w:sz w:val="24"/>
          <w:szCs w:val="24"/>
          <w:lang w:val="en-us"/>
        </w:rPr>
        <w:t>I. Y. Oksina</w:t>
      </w:r>
    </w:p>
    <w:p>
      <w:pPr>
        <w:ind w:firstLine="284"/>
        <w:spacing w:after="0" w:line="240" w:lineRule="auto"/>
        <w:jc w:val="right"/>
        <w:rPr>
          <w:rFonts w:ascii="Times New Roman" w:hAnsi="Times New Roman"/>
          <w:i/>
          <w:color w:val="000000"/>
          <w:sz w:val="24"/>
          <w:szCs w:val="24"/>
          <w:lang w:val="en-us"/>
        </w:rPr>
      </w:pPr>
      <w:r>
        <w:rPr>
          <w:rFonts w:ascii="Times New Roman" w:hAnsi="Times New Roman"/>
          <w:i/>
          <w:color w:val="000000"/>
          <w:sz w:val="24"/>
          <w:szCs w:val="24"/>
          <w:lang w:val="en-us"/>
        </w:rPr>
        <w:t>Petrozavodsk State University</w:t>
      </w:r>
    </w:p>
    <w:p>
      <w:pPr>
        <w:ind w:firstLine="284"/>
        <w:spacing w:after="0" w:line="240" w:lineRule="auto"/>
        <w:jc w:val="right"/>
        <w:rPr>
          <w:rFonts w:ascii="Times New Roman" w:hAnsi="Times New Roman"/>
          <w:i/>
          <w:color w:val="000000"/>
          <w:sz w:val="24"/>
          <w:szCs w:val="24"/>
          <w:lang w:val="en-us"/>
        </w:rPr>
      </w:pPr>
      <w:r>
        <w:rPr>
          <w:rFonts w:ascii="Times New Roman" w:hAnsi="Times New Roman"/>
          <w:i/>
          <w:color w:val="000000"/>
          <w:sz w:val="24"/>
          <w:szCs w:val="24"/>
          <w:lang w:val="en-us"/>
        </w:rPr>
        <w:t>Petrozavodsk, Russia</w:t>
      </w:r>
    </w:p>
    <w:p>
      <w:pPr>
        <w:ind w:firstLine="284"/>
        <w:spacing w:after="0" w:line="240" w:lineRule="auto"/>
        <w:jc w:val="both"/>
        <w:rPr>
          <w:rFonts w:ascii="Times New Roman" w:hAnsi="Times New Roman"/>
          <w:i/>
          <w:color w:val="000000"/>
          <w:sz w:val="24"/>
          <w:szCs w:val="24"/>
          <w:lang w:val="en-us"/>
        </w:rPr>
      </w:pPr>
      <w:r>
        <w:rPr>
          <w:rFonts w:ascii="Times New Roman" w:hAnsi="Times New Roman"/>
          <w:i/>
          <w:color w:val="000000"/>
          <w:sz w:val="24"/>
          <w:szCs w:val="24"/>
          <w:lang w:val="en-us"/>
        </w:rPr>
      </w:r>
    </w:p>
    <w:p>
      <w:pPr>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LEADERSHIP QUALITIES OF STUDENTS — FUTURE TEACHERS</w:t>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 xml:space="preserve">Abstract. </w:t>
      </w:r>
      <w:r>
        <w:rPr>
          <w:rFonts w:ascii="Times New Roman" w:hAnsi="Times New Roman"/>
          <w:color w:val="000000"/>
          <w:sz w:val="24"/>
          <w:szCs w:val="24"/>
          <w:lang w:val="en-us"/>
        </w:rPr>
        <w:t xml:space="preserve">This article discusses the problem of leadership in an educational institution. The effectiveness of pedagogical activity is due to the professional's pedagogical abilities, including leadership. The research sets the tasks of diagnostics and development of leadership qualities of students, future teachers. The results of the study indicate the need to form the readiness of students to be a leader in a group of students. </w:t>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Keywords:</w:t>
      </w:r>
      <w:r>
        <w:rPr>
          <w:rFonts w:ascii="Times New Roman" w:hAnsi="Times New Roman"/>
          <w:i/>
          <w:color w:val="000000"/>
          <w:sz w:val="24"/>
          <w:szCs w:val="24"/>
          <w:lang w:val="en-us"/>
        </w:rPr>
        <w:t xml:space="preserve"> </w:t>
      </w:r>
      <w:r>
        <w:rPr>
          <w:rFonts w:ascii="Times New Roman" w:hAnsi="Times New Roman"/>
          <w:color w:val="000000"/>
          <w:sz w:val="24"/>
          <w:szCs w:val="24"/>
          <w:lang w:val="en-us"/>
        </w:rPr>
        <w:t>leadership, leadership qualities, student age.</w:t>
      </w:r>
    </w:p>
    <w:p>
      <w:pPr>
        <w:pStyle w:val="para4"/>
        <w:ind w:left="0" w:firstLine="284"/>
        <w:spacing w:after="0" w:line="240" w:lineRule="auto"/>
        <w:contextualSpacing w:val="0"/>
        <w:jc w:val="both"/>
        <w:rPr>
          <w:rFonts w:ascii="Times New Roman" w:hAnsi="Times New Roman"/>
          <w:color w:val="000000"/>
          <w:sz w:val="24"/>
          <w:szCs w:val="24"/>
        </w:rPr>
      </w:pPr>
      <w:r>
        <w:rPr>
          <w:rFonts w:ascii="Times New Roman" w:hAnsi="Times New Roman"/>
          <w:color w:val="000000"/>
          <w:sz w:val="24"/>
          <w:szCs w:val="24"/>
        </w:rPr>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Проблема лидерства в образовательном учреждении в настоящее время обсуждается в психолого-педагогической литературе. Учитель, являясь руководителем группы обучающихся, более эффективен в этом статусе, если обладает лидерскими качествами и способностями.</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В отечественной психологии критерии различия лидерства и руководства выделены Б. Д. Парыгиным. Так, лидерство — неформально, руководство — формально; лидерство менее стабильно, чем руководство, лидер регулирует межличностные отношения, а руководитель — официальные и т. д. [7, c. 142].</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Г. М. Андреева отмечает:</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«…лидерство есть чисто психологическая характеристика поведения определенных членов группы, руководство в большей степени есть социальная характеристика отношений в группе;</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…в отличие от лидерства руководство выступает как регламентированный обществом правовой процесс» [1, c. 169].</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Образовательные задачи педагог, учитель в школе может осуществлять, являясь подготовленным руководителем. Однако функция образовательных учреждений (школа, университет) — это развитие самостоятельной, инициативной личности обучающихся. Как считает Н. Ю. Скороходова (2013), для реализации этой функции в образовании необходим группоцентрированный лидер. По Г. Гордону, такой лидер способствует развитию группы, помогает группе в определении ее целей, направляет ее на самореализацию, верит в значимость каждого члена группы.</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С точки зрения Ю. Н. Емельянова, «все члены группы в какой-то мере лидеры, поскольку каждый участник в известной степени и в каком-то отношении даже помимо своей воли влияет на действия других членов группы», и поэтому «лидерство является количественной переменной, а не наличием (или отсутствием) определенного качества» [4, c. 63].</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Р. Л. Кричевский считает, что «…важным условием эффективности коллектива является лидирование руководителя в ведущем типе групповой деятельности, выражающееся как в реализации им соответствующей лидерской роли, так и в достаточно высокой степени его лидерского потенциала применительно к этой роли» [5, c. 277].</w:t>
      </w:r>
    </w:p>
    <w:p>
      <w:pPr>
        <w:pStyle w:val="para4"/>
        <w:ind w:left="0" w:firstLine="284"/>
        <w:spacing w:after="0" w:line="240" w:lineRule="auto"/>
        <w:contextualSpacing w:val="0"/>
        <w:jc w:val="both"/>
        <w:rPr>
          <w:rFonts w:ascii="Times New Roman" w:hAnsi="Times New Roman"/>
          <w:b/>
          <w:color w:val="000000"/>
          <w:sz w:val="24"/>
          <w:szCs w:val="24"/>
          <w:lang w:val="ru-ru"/>
        </w:rPr>
      </w:pPr>
      <w:r>
        <w:rPr>
          <w:rFonts w:ascii="Times New Roman" w:hAnsi="Times New Roman"/>
          <w:color w:val="000000"/>
          <w:sz w:val="24"/>
          <w:szCs w:val="24"/>
          <w:lang w:val="ru-ru"/>
        </w:rPr>
        <w:t>А. В. Березина также отмечает, что учитель является в классе лидером по организации учебного процесса, обеспечивает возможность участия каждого в работе класса, а именно: свободу коммуникации, комфортную психологическую атмосферу [3, c. 341].</w:t>
      </w:r>
      <w:r>
        <w:rPr>
          <w:rFonts w:ascii="Times New Roman" w:hAnsi="Times New Roman"/>
          <w:b/>
          <w:color w:val="000000"/>
          <w:sz w:val="24"/>
          <w:szCs w:val="24"/>
          <w:lang w:val="ru-ru"/>
        </w:rPr>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Педагогическая деятельность концентрирует в себе понятие о лидерстве, данное в работе Б. Д. Парыгина: «…один из процессов организации и управления малой социальной группой, способствующий достижению групповых целей в оптимальные сроки и с оптимальным эффектом, детерминированный господствующими в обществе социальными отношениями». Таким образом, в отечественной психологии доминирует системный подход к лидерству, отражающий всю сложность данного феномена и включающий в себя триаду «лидер — окружение — ситуация» [7, c. 277].</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Б. Д. Парыгин в качестве необходимых для лидера выделяет следующие социально-психологические качества:</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достаточно высокий уровень инициативы и активности;</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опыт и навыки организаторской деятельности;</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заинтересованность в достижении групповых целей;</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заинтересованность в делах группы;</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достаточная общительность;</w:t>
      </w:r>
    </w:p>
    <w:p>
      <w:pPr>
        <w:pStyle w:val="para4"/>
        <w:ind w:left="0" w:firstLine="284"/>
        <w:spacing w:after="0" w:line="240" w:lineRule="auto"/>
        <w:contextualSpacing w:val="0"/>
        <w:jc w:val="both"/>
        <w:rPr>
          <w:rFonts w:ascii="Times New Roman" w:hAnsi="Times New Roman"/>
          <w:color w:val="000000"/>
          <w:sz w:val="24"/>
          <w:szCs w:val="24"/>
          <w:lang w:val="ru-ru"/>
        </w:rPr>
      </w:pPr>
      <w:r>
        <w:rPr>
          <w:rFonts w:ascii="Times New Roman" w:hAnsi="Times New Roman"/>
          <w:color w:val="000000"/>
          <w:sz w:val="24"/>
          <w:szCs w:val="24"/>
          <w:lang w:val="ru-ru"/>
        </w:rPr>
        <w:t>— личностная привлекательность [7, c. 277].</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 качестве респондентов были выбраны студенты первого курса ИИЯ ПетрГУ, обучающиеся по программе «Педагогическое образование». Выборка испытуемых в целом составила 60 человек. Из них 10 лиц мужского пола и 50 женского. Возраст испытуемых варьирует от 17 до 18 лет. </w:t>
      </w:r>
    </w:p>
    <w:p>
      <w:pPr>
        <w:pStyle w:val="para14"/>
        <w:ind w:firstLine="284"/>
        <w:spacing/>
        <w:jc w:val="both"/>
        <w:rPr>
          <w:b w:val="0"/>
          <w:bCs w:val="0"/>
          <w:color w:val="000000"/>
          <w:sz w:val="24"/>
        </w:rPr>
      </w:pPr>
      <w:r>
        <w:rPr>
          <w:b w:val="0"/>
          <w:bCs w:val="0"/>
          <w:color w:val="000000"/>
          <w:sz w:val="24"/>
        </w:rPr>
        <w:t>Студенчество представляет собой специфическую социальную группу, которая объединяет людей, обучающихся в гражданском высшем учебном заведении с целью подготовки к выполнению высоких профессиональных и социальных ролей в материальном и духовном производстве. Можно отметить некоторые специфические личностные черты, присущие студенческому возрасту:</w:t>
      </w:r>
    </w:p>
    <w:p>
      <w:pPr>
        <w:pStyle w:val="para14"/>
        <w:ind w:firstLine="284"/>
        <w:spacing/>
        <w:jc w:val="both"/>
        <w:rPr>
          <w:b w:val="0"/>
          <w:bCs w:val="0"/>
          <w:color w:val="000000"/>
          <w:sz w:val="24"/>
        </w:rPr>
      </w:pPr>
      <w:r>
        <w:rPr>
          <w:b w:val="0"/>
          <w:bCs w:val="0"/>
          <w:color w:val="000000"/>
          <w:sz w:val="24"/>
        </w:rPr>
        <w:t>— активное отношение к действительности;</w:t>
      </w:r>
    </w:p>
    <w:p>
      <w:pPr>
        <w:pStyle w:val="para14"/>
        <w:ind w:firstLine="284"/>
        <w:spacing/>
        <w:jc w:val="both"/>
        <w:rPr>
          <w:b w:val="0"/>
          <w:bCs w:val="0"/>
          <w:color w:val="000000"/>
          <w:sz w:val="24"/>
        </w:rPr>
      </w:pPr>
      <w:r>
        <w:rPr>
          <w:b w:val="0"/>
          <w:bCs w:val="0"/>
          <w:color w:val="000000"/>
          <w:sz w:val="24"/>
        </w:rPr>
        <w:t>— стремление к самопознанию, социально-активному самоопределению, к самоутверждению в качестве субъекта социальной жизни;</w:t>
      </w:r>
    </w:p>
    <w:p>
      <w:pPr>
        <w:pStyle w:val="para14"/>
        <w:ind w:firstLine="284"/>
        <w:spacing/>
        <w:jc w:val="both"/>
        <w:rPr>
          <w:b w:val="0"/>
          <w:bCs w:val="0"/>
          <w:color w:val="000000"/>
          <w:sz w:val="24"/>
        </w:rPr>
      </w:pPr>
      <w:r>
        <w:rPr>
          <w:b w:val="0"/>
          <w:bCs w:val="0"/>
          <w:color w:val="000000"/>
          <w:sz w:val="24"/>
        </w:rPr>
        <w:t>— определенная социально-психологическая неустойчивость (вероятно, из-за недостатка жизненного опыта, приводящего к разочарованиям, пессимизму, скептицизму и нигилизму);</w:t>
      </w:r>
    </w:p>
    <w:p>
      <w:pPr>
        <w:pStyle w:val="para14"/>
        <w:ind w:firstLine="284"/>
        <w:spacing/>
        <w:jc w:val="both"/>
        <w:rPr>
          <w:b w:val="0"/>
          <w:bCs w:val="0"/>
          <w:color w:val="000000"/>
          <w:sz w:val="24"/>
        </w:rPr>
      </w:pPr>
      <w:r>
        <w:rPr>
          <w:b w:val="0"/>
          <w:bCs w:val="0"/>
          <w:color w:val="000000"/>
          <w:sz w:val="24"/>
        </w:rPr>
        <w:t>— внутренняя противоречивость юношеского сознания (например, одновременное существование повышенного интереса к собственной личности и стремления к расширению социальных связей);</w:t>
      </w:r>
    </w:p>
    <w:p>
      <w:pPr>
        <w:pStyle w:val="para14"/>
        <w:ind w:firstLine="284"/>
        <w:spacing/>
        <w:jc w:val="both"/>
        <w:rPr>
          <w:b w:val="0"/>
          <w:bCs w:val="0"/>
          <w:color w:val="000000"/>
          <w:sz w:val="24"/>
        </w:rPr>
      </w:pPr>
      <w:r>
        <w:rPr>
          <w:b w:val="0"/>
          <w:bCs w:val="0"/>
          <w:color w:val="000000"/>
          <w:sz w:val="24"/>
        </w:rPr>
        <w:t xml:space="preserve">— недостаточная антиципация последствий своих поступков </w:t>
      </w:r>
      <w:r>
        <w:rPr>
          <w:b w:val="0"/>
          <w:color w:val="000000"/>
          <w:sz w:val="24"/>
        </w:rPr>
        <w:t>[6, c. 7].</w:t>
      </w:r>
      <w:r>
        <w:rPr>
          <w:b w:val="0"/>
          <w:bCs w:val="0"/>
          <w:color w:val="000000"/>
          <w:sz w:val="24"/>
        </w:rPr>
      </w:r>
    </w:p>
    <w:p>
      <w:pPr>
        <w:ind w:firstLine="284"/>
        <w:spacing w:after="0" w:line="240" w:lineRule="auto"/>
        <w:jc w:val="both"/>
        <w:tabs defTabSz="708">
          <w:tab w:val="center" w:pos="4677" w:leader="none"/>
          <w:tab w:val="left" w:pos="7320" w:leader="none"/>
        </w:tabs>
        <w:rPr>
          <w:rFonts w:ascii="Times New Roman" w:hAnsi="Times New Roman"/>
          <w:color w:val="000000"/>
          <w:sz w:val="24"/>
          <w:szCs w:val="24"/>
        </w:rPr>
      </w:pPr>
      <w:r>
        <w:rPr>
          <w:rFonts w:ascii="Times New Roman" w:hAnsi="Times New Roman"/>
          <w:color w:val="000000"/>
          <w:sz w:val="24"/>
          <w:szCs w:val="24"/>
        </w:rPr>
        <w:t xml:space="preserve">Студенческому возрасту соответствует </w:t>
      </w:r>
      <w:r>
        <w:rPr>
          <w:rFonts w:ascii="Times New Roman" w:hAnsi="Times New Roman"/>
          <w:bCs/>
          <w:color w:val="000000"/>
          <w:sz w:val="24"/>
          <w:szCs w:val="24"/>
        </w:rPr>
        <w:t>стремление к самопознанию, социально-активному самоопределению, к самоутверждению в качестве субъекта социальной жизни. Студенты, участвующие в опросе, будущие учителя, им предстоит стать руководителями, лидерами группы обучающихся (детей, подростков, взрослых). Представления будущих педагогов о лидерстве, лидерских качествах, самооценка себя как лидера, стали предметом изучения.</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Термин «лидерские качества» трактуется достаточно широко и включает в себя как личностные качества (например, уверенность в себе или решительность), так и коммуникативные умения и навыки (например, умение слушать, умение выступать на публике), организаторские способности (например, умение вести дискуссию). То есть под «лидерскими качествами» понимается все то, что, возможно, необходимо лидеру для того, чтобы быть успешным в реализации своей деятельности.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 исследовании использовалась методика «Диагностика лидерских способностей» (Е. Жариков, Е. Крушельницкий). Данная методика позволяет оценить способность человека быть лидером. По результатам исследования можно выделить следующие категории респондентов: 1 — те, у кого лидерские качества выражены слабо, 2 — те, у кого лидерские качества выражены средне, 3 — те, у кого лидерские качества выражены сильно, 4 — лидеры, склонные к диктату. Также мы использовали свободное описание лидера и самооценку (наличие) этих качеств у респондентов. Лидерские качества, перечисленные студентами, были отнесены к следующим категориям: активность (активность, энергичность и т. п.), воля (решительность, сила воли и т. п.), общительность и коммуникативные умения (общительность, коммуникативная компетентность), организаторские способности (ответственность, компетентность, организаторские способности), харизма (харизма), оптимизм (положительное отношение к жизни, оптимизм).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Полученные результаты показывают, что максимальный балл первокурсников при диагностике лидерских качеств — 35, минимальный балл — 14. Средний балл составил — 25,04. Таким образом, студенты с сильно выраженными лидерскими качествами в выборке первокурсников не представлены. Также следует отметить, что не было выявлено лидеров, склонных к диктату. 56 % студентов обладают средне выраженными лидерскими качествами, у 44 % студентов лидерские качества выражены слабо. Е. Жариков и Е. Крушельницкий полагают, что лидер должен обладать следующими качествами: воля, настойчивость, терпение, инициативность, самокритичность, выносливость</w:t>
      </w:r>
      <w:r>
        <w:rPr>
          <w:rStyle w:val="char19"/>
          <w:rFonts w:ascii="Times New Roman" w:hAnsi="Times New Roman"/>
          <w:color w:val="000000"/>
          <w:sz w:val="24"/>
          <w:szCs w:val="24"/>
        </w:rPr>
        <w:t xml:space="preserve">, </w:t>
      </w:r>
      <w:r>
        <w:rPr>
          <w:rFonts w:ascii="Times New Roman" w:hAnsi="Times New Roman"/>
          <w:color w:val="000000"/>
          <w:sz w:val="24"/>
          <w:szCs w:val="24"/>
        </w:rPr>
        <w:t>опт</w:t>
      </w:r>
      <w:r>
        <w:rPr>
          <w:rFonts w:ascii="Times New Roman" w:hAnsi="Times New Roman"/>
          <w:color w:val="000000"/>
          <w:sz w:val="24"/>
          <w:szCs w:val="24"/>
        </w:rPr>
        <w:t xml:space="preserve">имизм, решительность, гибкость. </w:t>
      </w:r>
      <w:r>
        <w:rPr>
          <w:rFonts w:ascii="Times New Roman" w:hAnsi="Times New Roman"/>
          <w:color w:val="000000"/>
          <w:sz w:val="24"/>
          <w:szCs w:val="24"/>
        </w:rPr>
        <w:t xml:space="preserve">Эти параметры заложены в основу исследования, а результаты свидетельствуют о низкой готовности студентов быть лидерами. </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свободном описании лидера студенты-первокурсники приписывают лидеру в среднем 6 качеств или характеристик. Максимальное количество перечисленных качеств составило — 12. Чаще всего студенты говорят о наличии у лидера волевых качеств (48 %), организаторских способностей (30 %), коммуникативных умений (25 %). В описание идеального лидера включены также такие черты, как активность (15 %), харизма (15 %), оптимизм (10 %) (см. табл.).</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Высказывания студентов о лидерских качествах (в %)</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tbl>
      <w:tblPr>
        <w:tblStyle w:val="TableNormal"/>
        <w:name w:val="Таблица11"/>
        <w:tabOrder w:val="0"/>
        <w:jc w:val="center"/>
        <w:tblInd w:w="0" w:type="dxa"/>
        <w:tblW w:w="9639" w:type="dxa"/>
        <w:pPr>
          <w:spacing w:after="0" w:line="240" w:lineRule="auto"/>
          <w:jc w:val="center"/>
          <w:suppressAutoHyphens/>
          <w:hyphenationLines w:val="0"/>
          <w:widowControl w:val="0"/>
        </w:pPr>
        <w:tblLook w:val="04A0" w:firstRow="1" w:lastRow="0" w:firstColumn="1" w:lastColumn="0" w:noHBand="0" w:noVBand="1"/>
      </w:tblPr>
      <w:tblGrid>
        <w:gridCol w:w="4152"/>
        <w:gridCol w:w="2744"/>
        <w:gridCol w:w="2743"/>
      </w:tblGrid>
      <w:tr>
        <w:trPr>
          <w:tblHeader w:val="0"/>
          <w:trKeepWithNext w:val="0"/>
          <w:trBreak w:val="0"/>
          <w:cantSplit w:val="0"/>
          <w:trHeight w:val="0" w:hRule="auto"/>
        </w:trPr>
        <w:tc>
          <w:tcPr>
            <w:tcW w:w="415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Черта</w:t>
            </w:r>
          </w:p>
        </w:tc>
        <w:tc>
          <w:tcPr>
            <w:tcW w:w="274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Идеальный лидер</w:t>
            </w:r>
          </w:p>
        </w:tc>
        <w:tc>
          <w:tcPr>
            <w:tcW w:w="2743"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Самооценка</w:t>
            </w:r>
          </w:p>
        </w:tc>
      </w:tr>
      <w:tr>
        <w:trPr>
          <w:tblHeader w:val="0"/>
          <w:trKeepWithNext w:val="0"/>
          <w:trBreak w:val="0"/>
          <w:cantSplit w:val="0"/>
          <w:trHeight w:val="0" w:hRule="auto"/>
        </w:trPr>
        <w:tc>
          <w:tcPr>
            <w:tcW w:w="415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Активность</w:t>
            </w:r>
          </w:p>
        </w:tc>
        <w:tc>
          <w:tcPr>
            <w:tcW w:w="274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15</w:t>
            </w:r>
          </w:p>
        </w:tc>
        <w:tc>
          <w:tcPr>
            <w:tcW w:w="2743"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w:t>
            </w:r>
          </w:p>
        </w:tc>
      </w:tr>
      <w:tr>
        <w:trPr>
          <w:tblHeader w:val="0"/>
          <w:trKeepWithNext w:val="0"/>
          <w:trBreak w:val="0"/>
          <w:cantSplit w:val="0"/>
          <w:trHeight w:val="0" w:hRule="auto"/>
        </w:trPr>
        <w:tc>
          <w:tcPr>
            <w:tcW w:w="415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Воля</w:t>
            </w:r>
          </w:p>
        </w:tc>
        <w:tc>
          <w:tcPr>
            <w:tcW w:w="274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48</w:t>
            </w:r>
          </w:p>
        </w:tc>
        <w:tc>
          <w:tcPr>
            <w:tcW w:w="2743"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20</w:t>
            </w:r>
          </w:p>
        </w:tc>
      </w:tr>
      <w:tr>
        <w:trPr>
          <w:tblHeader w:val="0"/>
          <w:trKeepWithNext w:val="0"/>
          <w:trBreak w:val="0"/>
          <w:cantSplit w:val="0"/>
          <w:trHeight w:val="0" w:hRule="auto"/>
        </w:trPr>
        <w:tc>
          <w:tcPr>
            <w:tcW w:w="415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Коммуникативные умения</w:t>
            </w:r>
          </w:p>
        </w:tc>
        <w:tc>
          <w:tcPr>
            <w:tcW w:w="274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25</w:t>
            </w:r>
          </w:p>
        </w:tc>
        <w:tc>
          <w:tcPr>
            <w:tcW w:w="2743"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15</w:t>
            </w:r>
          </w:p>
        </w:tc>
      </w:tr>
      <w:tr>
        <w:trPr>
          <w:tblHeader w:val="0"/>
          <w:trKeepWithNext w:val="0"/>
          <w:trBreak w:val="0"/>
          <w:cantSplit w:val="0"/>
          <w:trHeight w:val="0" w:hRule="auto"/>
        </w:trPr>
        <w:tc>
          <w:tcPr>
            <w:tcW w:w="415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Организаторские способности</w:t>
            </w:r>
          </w:p>
        </w:tc>
        <w:tc>
          <w:tcPr>
            <w:tcW w:w="274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30</w:t>
            </w:r>
          </w:p>
        </w:tc>
        <w:tc>
          <w:tcPr>
            <w:tcW w:w="2743"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15</w:t>
            </w:r>
          </w:p>
        </w:tc>
      </w:tr>
      <w:tr>
        <w:trPr>
          <w:tblHeader w:val="0"/>
          <w:trKeepWithNext w:val="0"/>
          <w:trBreak w:val="0"/>
          <w:cantSplit w:val="0"/>
          <w:trHeight w:val="0" w:hRule="auto"/>
        </w:trPr>
        <w:tc>
          <w:tcPr>
            <w:tcW w:w="415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Оптимизм</w:t>
            </w:r>
          </w:p>
        </w:tc>
        <w:tc>
          <w:tcPr>
            <w:tcW w:w="274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w:t>
            </w:r>
          </w:p>
        </w:tc>
        <w:tc>
          <w:tcPr>
            <w:tcW w:w="2743"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w:t>
            </w:r>
          </w:p>
        </w:tc>
      </w:tr>
      <w:tr>
        <w:trPr>
          <w:tblHeader w:val="0"/>
          <w:trKeepWithNext w:val="0"/>
          <w:trBreak w:val="0"/>
          <w:cantSplit w:val="0"/>
          <w:trHeight w:val="0" w:hRule="auto"/>
        </w:trPr>
        <w:tc>
          <w:tcPr>
            <w:tcW w:w="415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Харизма</w:t>
            </w:r>
          </w:p>
        </w:tc>
        <w:tc>
          <w:tcPr>
            <w:tcW w:w="274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15</w:t>
            </w:r>
          </w:p>
        </w:tc>
        <w:tc>
          <w:tcPr>
            <w:tcW w:w="2743"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0,6</w:t>
            </w:r>
          </w:p>
        </w:tc>
      </w:tr>
    </w:tbl>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Среди студентов есть обладающие качествами лидера, однако, самооценка в среднем ниже показателей идеального лидера: волевые качества отмечают у себя 20 % студентов, организаторские способности — 15 %, коммуникативные умения — 15 %, активность — 10 %, оптимизм — 5 %, харизму — 0,6 % человек. Результаты показывают необходимость создания условий развития лидерских качеств студентов, как будущих учителей и руководителей.</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Выделяя черты наиболее успешного учителя-руководителя, Е. В. Андриенко классифицирует их следующим образом:</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1. Качества, способствующие успешному общению (общительность, направленность на других, склонность к сотрудничеству, эмпатия, тактичность, терпение, эмоциональная устойчивость, гибкость в усвоении новых ролей, артистизм);</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2. Качества, связанные со спецификой педагогического труда (высокая интеллектуальная гибкость, критичность и быстрота мышления, способность к импровизации, самокритичность, самостоятельность, инициатива) [2, c. 76].</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Таким образом, в нашем исследовании выяснилось, что студенты — будущие педагоги, в описании лидерских качеств используют понятия, связанные с успешным общением с другими людьми, и практически не используют понятия, связанные со спецификой педагогического труда.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Итак, результаты исследования позволяют выделить два положения, актуальные при организации процесса подготовки будущих учителей.</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Во-первых, о диагностике лидерских качеств абитуриентов. Студенты первого курса, обучающиеся по программе «Педагогическое образование», демонстрируют недостаточный уровень лидерских качеств, необходимых успешному педагогу, учителю-руководителю.</w:t>
      </w:r>
    </w:p>
    <w:p>
      <w:pPr>
        <w:ind w:firstLine="284"/>
        <w:spacing w:after="0" w:line="240" w:lineRule="auto"/>
        <w:jc w:val="both"/>
        <w:rPr>
          <w:rFonts w:ascii="Times New Roman" w:hAnsi="Times New Roman" w:eastAsia="Times New Roman"/>
          <w:color w:val="000000"/>
          <w:spacing w:val="-6" spc="45"/>
          <w:sz w:val="24"/>
          <w:szCs w:val="24"/>
          <w:lang w:eastAsia="ru-ru" w:bidi="ru-ru"/>
        </w:rPr>
      </w:pPr>
      <w:r>
        <w:rPr>
          <w:rFonts w:ascii="Times New Roman" w:hAnsi="Times New Roman" w:eastAsia="Times New Roman"/>
          <w:color w:val="000000"/>
          <w:spacing w:val="-6" spc="45"/>
          <w:sz w:val="24"/>
          <w:szCs w:val="24"/>
          <w:lang w:eastAsia="ru-ru" w:bidi="ru-ru"/>
        </w:rPr>
        <w:t>Во-вторых, о содержании процесса подготовки будущих учителей. В настоящее время большое внимание в учебной и воспитательной работе уделяется интерактивным методам обучения, тренингам коммуникативных умений и другим формам взаимодействия студентов. Это, несомненно, важно для развития студентов как субъектов общения. Однако необходимо найти баланс, развивая качества, специфические для педагогической деятельности, без которых молодым специалистам сложно стать успешными учителями-руководителями и лидерами.</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Список литературы</w:t>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1. </w:t>
      </w:r>
      <w:r>
        <w:rPr>
          <w:rFonts w:ascii="Times New Roman" w:hAnsi="Times New Roman"/>
          <w:i/>
          <w:color w:val="000000"/>
          <w:sz w:val="24"/>
          <w:szCs w:val="24"/>
        </w:rPr>
        <w:t>Андреева Г. М</w:t>
      </w:r>
      <w:r>
        <w:rPr>
          <w:rFonts w:ascii="Times New Roman" w:hAnsi="Times New Roman"/>
          <w:color w:val="000000"/>
          <w:sz w:val="24"/>
          <w:szCs w:val="24"/>
        </w:rPr>
        <w:t>. Социальная психология / Г. М. Андреева. — Москва : Аспект-Пресс, 2001. — 290 с.</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2. </w:t>
      </w:r>
      <w:r>
        <w:rPr>
          <w:rFonts w:ascii="Times New Roman" w:hAnsi="Times New Roman"/>
          <w:i/>
          <w:color w:val="000000"/>
          <w:sz w:val="24"/>
          <w:szCs w:val="24"/>
        </w:rPr>
        <w:t>Андриенко Е. В</w:t>
      </w:r>
      <w:r>
        <w:rPr>
          <w:rFonts w:ascii="Times New Roman" w:hAnsi="Times New Roman"/>
          <w:color w:val="000000"/>
          <w:sz w:val="24"/>
          <w:szCs w:val="24"/>
        </w:rPr>
        <w:t>. Классное руководство как элемент социального воспитания российских школьников в контексте анализа исследований образования / Е. В. Андриенко, О. С. Попова, Т. А. Ромм // Science for Education Today. — 2022. — Т. 12, № 4. — С. 73—91.</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3. </w:t>
      </w:r>
      <w:r>
        <w:rPr>
          <w:rFonts w:ascii="Times New Roman" w:hAnsi="Times New Roman"/>
          <w:i/>
          <w:color w:val="000000"/>
          <w:sz w:val="24"/>
          <w:szCs w:val="24"/>
        </w:rPr>
        <w:t>Березина А. В</w:t>
      </w:r>
      <w:r>
        <w:rPr>
          <w:rFonts w:ascii="Times New Roman" w:hAnsi="Times New Roman"/>
          <w:color w:val="000000"/>
          <w:sz w:val="24"/>
          <w:szCs w:val="24"/>
        </w:rPr>
        <w:t>. Психология в деятельности учителя начальной школы / А. В. Березина. — Москва : Юрайт, 2021. — 347 с.</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4. </w:t>
      </w:r>
      <w:r>
        <w:rPr>
          <w:rFonts w:ascii="Times New Roman" w:hAnsi="Times New Roman"/>
          <w:i/>
          <w:color w:val="000000"/>
          <w:sz w:val="24"/>
          <w:szCs w:val="24"/>
        </w:rPr>
        <w:t>Емельянов Ю. Н</w:t>
      </w:r>
      <w:r>
        <w:rPr>
          <w:rFonts w:ascii="Times New Roman" w:hAnsi="Times New Roman"/>
          <w:color w:val="000000"/>
          <w:sz w:val="24"/>
          <w:szCs w:val="24"/>
        </w:rPr>
        <w:t>. Лидерство и групповая динамика / Ю. Н. Емельянов // Психология и психоанализ власти : хрестоматия. Т. 2 / [</w:t>
      </w:r>
      <w:r>
        <w:rPr>
          <w:rFonts w:ascii="Times New Roman" w:hAnsi="Times New Roman"/>
          <w:color w:val="000000"/>
          <w:sz w:val="24"/>
          <w:szCs w:val="24"/>
          <w:shd w:val="clear" w:fill="ffffff"/>
        </w:rPr>
        <w:t>ред.-сост.]</w:t>
      </w:r>
      <w:r>
        <w:rPr>
          <w:rFonts w:ascii="Times New Roman" w:hAnsi="Times New Roman"/>
          <w:color w:val="000000"/>
          <w:sz w:val="24"/>
          <w:szCs w:val="24"/>
        </w:rPr>
        <w:t xml:space="preserve"> Д. Я. Райгородский. — Самара, 1999. — 352 с.</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5. </w:t>
      </w:r>
      <w:r>
        <w:rPr>
          <w:rFonts w:ascii="Times New Roman" w:hAnsi="Times New Roman"/>
          <w:i/>
          <w:color w:val="000000"/>
          <w:sz w:val="24"/>
          <w:szCs w:val="24"/>
        </w:rPr>
        <w:t>Кричевский Р. Л</w:t>
      </w:r>
      <w:r>
        <w:rPr>
          <w:rFonts w:ascii="Times New Roman" w:hAnsi="Times New Roman"/>
          <w:color w:val="000000"/>
          <w:sz w:val="24"/>
          <w:szCs w:val="24"/>
        </w:rPr>
        <w:t>. Руководство малой группой / Р. Л. Кричевский, Е. М. Дубовская // Социальная психология : хрестоматия : учебное пособие для студентов вузов / cост. Е. П. Белинская, О. А. Тихомандрицкая. — Москва : Аспект-Пресс, 2003. — 471 с.</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6. </w:t>
      </w:r>
      <w:r>
        <w:rPr>
          <w:rFonts w:ascii="Times New Roman" w:hAnsi="Times New Roman"/>
          <w:i/>
          <w:color w:val="000000"/>
          <w:sz w:val="24"/>
          <w:szCs w:val="24"/>
        </w:rPr>
        <w:t>Мещерякова И. А</w:t>
      </w:r>
      <w:r>
        <w:rPr>
          <w:rFonts w:ascii="Times New Roman" w:hAnsi="Times New Roman"/>
          <w:color w:val="000000"/>
          <w:sz w:val="24"/>
          <w:szCs w:val="24"/>
        </w:rPr>
        <w:t>. Проблемное поле и переживания студентов / И. А. Мещерякова, А. В. Иванова // Психологическая наука и образование. — 2004. — № 2. — С. 5—10.</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7. </w:t>
      </w:r>
      <w:r>
        <w:rPr>
          <w:rFonts w:ascii="Times New Roman" w:hAnsi="Times New Roman"/>
          <w:i/>
          <w:color w:val="000000"/>
          <w:sz w:val="24"/>
          <w:szCs w:val="24"/>
        </w:rPr>
        <w:t>Парыгин Б. Д</w:t>
      </w:r>
      <w:r>
        <w:rPr>
          <w:rFonts w:ascii="Times New Roman" w:hAnsi="Times New Roman"/>
          <w:color w:val="000000"/>
          <w:sz w:val="24"/>
          <w:szCs w:val="24"/>
        </w:rPr>
        <w:t>. Социальная психология. Проблемы методологии, истории и теории / Б. Д. Парыгин. — Санкт-Петербург : ИГУП, 1999. — 592 с.</w:t>
      </w:r>
    </w:p>
    <w:p>
      <w:pPr>
        <w:pStyle w:val="para17"/>
      </w:pPr>
      <w:r>
        <w:br w:type="page"/>
      </w:r>
      <w:bookmarkStart w:id="33" w:name="_Оглавление000020"/>
      <w:r/>
      <w:r>
        <w:rPr>
          <w:rFonts w:ascii="Symbol" w:hAnsi="Symbol" w:eastAsia="Symbol" w:cs="Symbol"/>
          <w:bCs w:val="0"/>
          <w:iCs w:val="0"/>
          <w:color w:val="ffffff"/>
          <w:kern w:val="1" kern="1"/>
          <w:lang w:eastAsia="zh-cn"/>
        </w:rPr>
        <w:t xml:space="preserve">© </w:t>
      </w:r>
      <w:r>
        <w:t>А. В. Румянцева</w:t>
      </w:r>
      <w:bookmarkEnd w:id="33"/>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ФГБОУ ВО «Петрозаводский государственный университет»</w:t>
      </w:r>
    </w:p>
    <w:p>
      <w:pPr>
        <w:ind w:firstLine="284"/>
        <w:spacing w:after="0" w:line="240" w:lineRule="auto"/>
        <w:jc w:val="right"/>
        <w:rPr>
          <w:rFonts w:ascii="Times New Roman" w:hAnsi="Times New Roman"/>
          <w:i/>
          <w:color w:val="000000"/>
          <w:sz w:val="24"/>
          <w:szCs w:val="24"/>
          <w:u w:color="auto" w:val="single"/>
        </w:rPr>
      </w:pPr>
      <w:r>
        <w:rPr>
          <w:rFonts w:ascii="Times New Roman" w:hAnsi="Times New Roman"/>
          <w:i/>
          <w:color w:val="000000"/>
          <w:sz w:val="24"/>
          <w:szCs w:val="24"/>
        </w:rPr>
        <w:t>г. Петрозаводск, Россия</w:t>
      </w:r>
      <w:r>
        <w:rPr>
          <w:rFonts w:ascii="Times New Roman" w:hAnsi="Times New Roman"/>
          <w:i/>
          <w:color w:val="000000"/>
          <w:sz w:val="24"/>
          <w:szCs w:val="24"/>
          <w:u w:color="auto" w:val="single"/>
        </w:rPr>
      </w:r>
    </w:p>
    <w:p>
      <w:pPr>
        <w:ind w:firstLine="284"/>
        <w:spacing w:after="0" w:line="240" w:lineRule="auto"/>
        <w:jc w:val="both"/>
        <w:rPr>
          <w:rFonts w:ascii="Times New Roman" w:hAnsi="Times New Roman"/>
          <w:b/>
          <w:i/>
          <w:color w:val="000000"/>
          <w:sz w:val="24"/>
          <w:szCs w:val="24"/>
          <w:u w:color="auto" w:val="single"/>
        </w:rPr>
      </w:pPr>
      <w:r>
        <w:rPr>
          <w:rFonts w:ascii="Times New Roman" w:hAnsi="Times New Roman"/>
          <w:b/>
          <w:i/>
          <w:color w:val="000000"/>
          <w:sz w:val="24"/>
          <w:szCs w:val="24"/>
          <w:u w:color="auto" w:val="single"/>
        </w:rPr>
      </w:r>
    </w:p>
    <w:p>
      <w:pPr>
        <w:pStyle w:val="para16"/>
      </w:pPr>
      <w:bookmarkStart w:id="34" w:name="_Оглавление000021"/>
      <w:r>
        <w:t xml:space="preserve">ИСПОЛЬЗОВАНИЕ ИГРЫ «FALLACYMANIA» ДЛЯ РАЗВИТИЯ </w:t>
        <w:br w:type="textWrapping"/>
        <w:t>КРИТИЧЕСКОГО МЫШЛЕНИЯ СТАРШЕКЛАССНИКОВ И СТУДЕНТОВ</w:t>
      </w:r>
      <w:bookmarkEnd w:id="34"/>
      <w:r/>
    </w:p>
    <w:p>
      <w:pPr>
        <w:ind w:firstLine="284"/>
        <w:spacing w:after="0" w:line="240" w:lineRule="auto"/>
        <w:jc w:val="both"/>
        <w:rPr>
          <w:rFonts w:ascii="Times New Roman" w:hAnsi="Times New Roman"/>
          <w:b/>
          <w:color w:val="000000"/>
          <w:sz w:val="24"/>
          <w:szCs w:val="24"/>
        </w:rPr>
      </w:pPr>
      <w:r>
        <w:rPr>
          <w:rFonts w:ascii="Times New Roman" w:hAnsi="Times New Roman"/>
          <w:b/>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b/>
          <w:i/>
          <w:color w:val="000000"/>
          <w:sz w:val="24"/>
          <w:szCs w:val="24"/>
        </w:rPr>
        <w:t>Аннотация.</w:t>
      </w:r>
      <w:r>
        <w:rPr>
          <w:rFonts w:ascii="Times New Roman" w:hAnsi="Times New Roman"/>
          <w:i/>
          <w:color w:val="000000"/>
          <w:sz w:val="24"/>
          <w:szCs w:val="24"/>
        </w:rPr>
        <w:t xml:space="preserve"> </w:t>
      </w:r>
      <w:r>
        <w:rPr>
          <w:rFonts w:ascii="Times New Roman" w:hAnsi="Times New Roman"/>
          <w:color w:val="000000"/>
          <w:sz w:val="24"/>
          <w:szCs w:val="24"/>
        </w:rPr>
        <w:t>Изучается возможность использования игры «Fallacymania» для развития критического мышления у старшеклассников и студентов. Проанализирован опыт использования материалов игры для обучения критичности в восприятии информации. С помощью анкетирования учащихся проведена оценка эффективности, исследовано их отношение к игре и ее использованию для обучения. Описаны возникающие трудности и возможности совладения с ними.</w:t>
      </w:r>
    </w:p>
    <w:p>
      <w:pPr>
        <w:ind w:firstLine="284"/>
        <w:spacing w:after="0" w:line="240" w:lineRule="auto"/>
        <w:jc w:val="both"/>
        <w:rPr>
          <w:rFonts w:ascii="Times New Roman" w:hAnsi="Times New Roman"/>
          <w:i/>
          <w:color w:val="000000"/>
          <w:sz w:val="24"/>
          <w:szCs w:val="24"/>
        </w:rPr>
      </w:pPr>
      <w:r>
        <w:rPr>
          <w:rFonts w:ascii="Times New Roman" w:hAnsi="Times New Roman"/>
          <w:b/>
          <w:i/>
          <w:color w:val="000000"/>
          <w:sz w:val="24"/>
          <w:szCs w:val="24"/>
        </w:rPr>
        <w:t>Ключевые слова:</w:t>
      </w:r>
      <w:r>
        <w:rPr>
          <w:rFonts w:ascii="Times New Roman" w:hAnsi="Times New Roman"/>
          <w:i/>
          <w:color w:val="000000"/>
          <w:sz w:val="24"/>
          <w:szCs w:val="24"/>
        </w:rPr>
        <w:t xml:space="preserve"> </w:t>
      </w:r>
      <w:r>
        <w:rPr>
          <w:rFonts w:ascii="Times New Roman" w:hAnsi="Times New Roman"/>
          <w:color w:val="000000"/>
          <w:sz w:val="24"/>
          <w:szCs w:val="24"/>
        </w:rPr>
        <w:t>критическое мышление, старшеклассники, студенты.</w:t>
      </w:r>
      <w:r>
        <w:rPr>
          <w:rFonts w:ascii="Times New Roman" w:hAnsi="Times New Roman"/>
          <w:i/>
          <w:color w:val="000000"/>
          <w:sz w:val="24"/>
          <w:szCs w:val="24"/>
        </w:rPr>
      </w:r>
    </w:p>
    <w:p>
      <w:pPr>
        <w:ind w:firstLine="284"/>
        <w:spacing w:after="0" w:line="240" w:lineRule="auto"/>
        <w:jc w:val="both"/>
        <w:rPr>
          <w:rFonts w:ascii="Times New Roman" w:hAnsi="Times New Roman"/>
          <w:b/>
          <w:i/>
          <w:color w:val="000000"/>
          <w:sz w:val="24"/>
          <w:szCs w:val="24"/>
        </w:rPr>
      </w:pPr>
      <w:r>
        <w:rPr>
          <w:rFonts w:ascii="Times New Roman" w:hAnsi="Times New Roman"/>
          <w:b/>
          <w:i/>
          <w:color w:val="000000"/>
          <w:sz w:val="24"/>
          <w:szCs w:val="24"/>
        </w:rPr>
      </w:r>
    </w:p>
    <w:p>
      <w:pPr>
        <w:ind w:firstLine="284"/>
        <w:spacing w:after="0" w:line="240" w:lineRule="auto"/>
        <w:jc w:val="right"/>
        <w:rPr>
          <w:rFonts w:ascii="Times New Roman" w:hAnsi="Times New Roman"/>
          <w:b/>
          <w:i/>
          <w:color w:val="000000"/>
          <w:sz w:val="24"/>
          <w:szCs w:val="24"/>
          <w:lang w:val="en-us"/>
        </w:rPr>
      </w:pPr>
      <w:r>
        <w:rPr>
          <w:rFonts w:ascii="Times New Roman" w:hAnsi="Times New Roman"/>
          <w:b/>
          <w:i/>
          <w:color w:val="000000"/>
          <w:sz w:val="24"/>
          <w:szCs w:val="24"/>
          <w:lang w:val="en-us"/>
        </w:rPr>
        <w:t>A. V. Rumyantseva</w:t>
      </w:r>
    </w:p>
    <w:p>
      <w:pPr>
        <w:pStyle w:val="para8"/>
        <w:ind w:firstLine="284"/>
        <w:spacing w:before="0" w:after="0" w:beforeAutospacing="0" w:afterAutospacing="0"/>
        <w:jc w:val="right"/>
        <w:rPr>
          <w:i/>
          <w:color w:val="000000"/>
          <w:lang w:val="en-us"/>
        </w:rPr>
      </w:pPr>
      <w:r>
        <w:rPr>
          <w:i/>
          <w:color w:val="000000"/>
          <w:lang w:val="en-us"/>
        </w:rPr>
        <w:t>Petrozavodsk State University</w:t>
      </w:r>
    </w:p>
    <w:p>
      <w:pPr>
        <w:pStyle w:val="para8"/>
        <w:ind w:firstLine="284"/>
        <w:spacing w:before="0" w:after="0" w:beforeAutospacing="0" w:afterAutospacing="0"/>
        <w:jc w:val="right"/>
        <w:rPr>
          <w:i/>
          <w:color w:val="000000"/>
          <w:lang w:val="en-us"/>
        </w:rPr>
      </w:pPr>
      <w:r>
        <w:rPr>
          <w:i/>
          <w:color w:val="000000"/>
          <w:lang w:val="en-us"/>
        </w:rPr>
        <w:t>Petrozavodsk, Russia</w:t>
      </w:r>
    </w:p>
    <w:p>
      <w:pPr>
        <w:ind w:firstLine="284"/>
        <w:spacing w:after="0" w:line="240" w:lineRule="auto"/>
        <w:jc w:val="both"/>
        <w:rPr>
          <w:rFonts w:ascii="Times New Roman" w:hAnsi="Times New Roman"/>
          <w:b/>
          <w:color w:val="000000"/>
          <w:sz w:val="24"/>
          <w:szCs w:val="24"/>
          <w:lang w:val="en-us"/>
        </w:rPr>
      </w:pPr>
      <w:r>
        <w:rPr>
          <w:rFonts w:ascii="Times New Roman" w:hAnsi="Times New Roman"/>
          <w:b/>
          <w:color w:val="000000"/>
          <w:sz w:val="24"/>
          <w:szCs w:val="24"/>
          <w:lang w:val="en-us"/>
        </w:rPr>
      </w:r>
    </w:p>
    <w:p>
      <w:pPr>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REPRESENTATION THE POSSIBILITY OF USING THE GAME “FALLACYMANIA” FOR STUDENTS AND HIGH SCHOOL STUDENTS</w:t>
      </w:r>
    </w:p>
    <w:p>
      <w:pPr>
        <w:ind w:firstLine="284"/>
        <w:spacing w:after="0" w:line="240" w:lineRule="auto"/>
        <w:jc w:val="both"/>
        <w:rPr>
          <w:rFonts w:ascii="Times New Roman" w:hAnsi="Times New Roman"/>
          <w:b/>
          <w:color w:val="000000"/>
          <w:sz w:val="24"/>
          <w:szCs w:val="24"/>
          <w:lang w:val="en-us"/>
        </w:rPr>
      </w:pPr>
      <w:r>
        <w:rPr>
          <w:rFonts w:ascii="Times New Roman" w:hAnsi="Times New Roman"/>
          <w:b/>
          <w:color w:val="000000"/>
          <w:sz w:val="24"/>
          <w:szCs w:val="24"/>
          <w:lang w:val="en-us"/>
        </w:rPr>
      </w:r>
    </w:p>
    <w:p>
      <w:pPr>
        <w:ind w:firstLine="284"/>
        <w:spacing w:after="0" w:line="240" w:lineRule="auto"/>
        <w:jc w:val="both"/>
        <w:rPr>
          <w:rFonts w:ascii="Times New Roman" w:hAnsi="Times New Roman"/>
          <w:iCs/>
          <w:color w:val="000000"/>
          <w:sz w:val="24"/>
          <w:szCs w:val="24"/>
          <w:lang w:val="en-us"/>
        </w:rPr>
      </w:pPr>
      <w:r>
        <w:rPr>
          <w:rFonts w:ascii="Times New Roman" w:hAnsi="Times New Roman"/>
          <w:b/>
          <w:i/>
          <w:color w:val="000000"/>
          <w:sz w:val="24"/>
          <w:szCs w:val="24"/>
          <w:lang w:val="en-us"/>
        </w:rPr>
        <w:t>Abstract.</w:t>
      </w:r>
      <w:r>
        <w:rPr>
          <w:rFonts w:ascii="Times New Roman" w:hAnsi="Times New Roman"/>
          <w:i/>
          <w:color w:val="000000"/>
          <w:sz w:val="24"/>
          <w:szCs w:val="24"/>
          <w:lang w:val="en-us"/>
        </w:rPr>
        <w:t xml:space="preserve"> </w:t>
      </w:r>
      <w:r>
        <w:rPr>
          <w:rFonts w:ascii="Times New Roman" w:hAnsi="Times New Roman"/>
          <w:color w:val="000000"/>
          <w:sz w:val="24"/>
          <w:szCs w:val="24"/>
          <w:lang w:val="en-us"/>
        </w:rPr>
        <w:t>This</w:t>
      </w:r>
      <w:r>
        <w:rPr>
          <w:rFonts w:ascii="Times New Roman" w:hAnsi="Times New Roman"/>
          <w:iCs/>
          <w:color w:val="000000"/>
          <w:sz w:val="24"/>
          <w:szCs w:val="24"/>
          <w:shd w:val="clear" w:fill="ffffff"/>
          <w:lang w:val="en-us"/>
        </w:rPr>
        <w:t xml:space="preserve"> article analyzes the possibility of using the game “</w:t>
      </w:r>
      <w:r>
        <w:rPr>
          <w:rFonts w:ascii="Times New Roman" w:hAnsi="Times New Roman"/>
          <w:iCs/>
          <w:color w:val="000000"/>
          <w:sz w:val="24"/>
          <w:szCs w:val="24"/>
          <w:shd w:val="clear" w:fill="ffffff"/>
          <w:lang w:val="en-us"/>
        </w:rPr>
        <w:t>Fallacymania</w:t>
      </w:r>
      <w:r>
        <w:rPr>
          <w:rFonts w:ascii="Times New Roman" w:hAnsi="Times New Roman"/>
          <w:iCs/>
          <w:color w:val="000000"/>
          <w:sz w:val="24"/>
          <w:szCs w:val="24"/>
          <w:shd w:val="clear" w:fill="ffffff"/>
          <w:lang w:val="en-us"/>
        </w:rPr>
        <w:t>” for students and high school students critical thinking development. The experience of using games materials for teaching criticality in the perception of information has been analyzed. With the help of student survey, an assessment of the effectiveness was carried out, students attitude to the game and its usage for teaching have also been studied. The appearing difficulties and possibilities of coping with them are described.</w:t>
      </w:r>
      <w:r>
        <w:rPr>
          <w:rFonts w:ascii="Times New Roman" w:hAnsi="Times New Roman"/>
          <w:iCs/>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b/>
          <w:i/>
          <w:color w:val="000000"/>
          <w:sz w:val="24"/>
          <w:szCs w:val="24"/>
          <w:lang w:val="en-us"/>
        </w:rPr>
        <w:t>Keywords:</w:t>
      </w:r>
      <w:r>
        <w:rPr>
          <w:rFonts w:ascii="Times New Roman" w:hAnsi="Times New Roman"/>
          <w:i/>
          <w:color w:val="000000"/>
          <w:sz w:val="24"/>
          <w:szCs w:val="24"/>
          <w:lang w:val="en-us"/>
        </w:rPr>
        <w:t xml:space="preserve"> </w:t>
      </w:r>
      <w:r>
        <w:rPr>
          <w:rFonts w:ascii="Times New Roman" w:hAnsi="Times New Roman"/>
          <w:iCs/>
          <w:color w:val="000000"/>
          <w:sz w:val="24"/>
          <w:szCs w:val="24"/>
          <w:shd w:val="clear" w:fill="ffffff"/>
          <w:lang w:val="en-us"/>
        </w:rPr>
        <w:t>students, high school students, critical thinking.</w:t>
      </w: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lang w:val="en-us"/>
        </w:rPr>
      </w:pPr>
      <w:r>
        <w:rPr>
          <w:rFonts w:ascii="Times New Roman" w:hAnsi="Times New Roman"/>
          <w:color w:val="000000"/>
          <w:sz w:val="24"/>
          <w:szCs w:val="24"/>
          <w:lang w:val="en-us"/>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связи с быстрым развитием и широким распространением в современном обществе информационных технологий и некачественной информации, начиная от «информационного мусора» и заканчивая специальными технологиями введения в заблуждение в коммерческих целях, одной из компетенций, необходимых современному молодому человеку, является критическое мышление.</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Специфика информации в интернете такова, что пользователь сталкивается с информационной избыточностью по объему, по структуре (гиперссылки) и по форме представления (аудиовизуальный и мультимедийный контент) [1]. Выявлено, что п</w:t>
      </w:r>
      <w:r>
        <w:rPr>
          <w:rFonts w:ascii="Times New Roman" w:hAnsi="Times New Roman"/>
          <w:color w:val="000000"/>
          <w:sz w:val="24"/>
          <w:szCs w:val="24"/>
        </w:rPr>
        <w:t xml:space="preserve">ривычка современного молодого человека оперировать короткой реальностью, мыслить «чувственными пятнами», ведет к уходу от опыта логических рассуждений. </w:t>
      </w:r>
      <w:r>
        <w:rPr>
          <w:rFonts w:ascii="Times New Roman" w:hAnsi="Times New Roman" w:eastAsia="Times New Roman"/>
          <w:color w:val="000000"/>
          <w:sz w:val="24"/>
          <w:szCs w:val="24"/>
        </w:rPr>
        <w:t xml:space="preserve">По данным исследований, в наше время из десяти пользователей </w:t>
      </w:r>
      <w:r>
        <w:rPr>
          <w:rFonts w:ascii="Times New Roman" w:hAnsi="Times New Roman" w:eastAsia="Times New Roman"/>
          <w:color w:val="000000"/>
          <w:sz w:val="24"/>
          <w:szCs w:val="24"/>
        </w:rPr>
        <w:t>восемь</w:t>
      </w:r>
      <w:r>
        <w:rPr>
          <w:rFonts w:ascii="Times New Roman" w:hAnsi="Times New Roman" w:eastAsia="Times New Roman"/>
          <w:color w:val="000000"/>
          <w:sz w:val="24"/>
          <w:szCs w:val="24"/>
        </w:rPr>
        <w:t xml:space="preserve"> имеют клиповое мышление [3]</w:t>
      </w:r>
      <w:r>
        <w:rPr>
          <w:rFonts w:ascii="Times New Roman" w:hAnsi="Times New Roman"/>
          <w:color w:val="000000"/>
          <w:sz w:val="24"/>
          <w:szCs w:val="24"/>
        </w:rPr>
        <w:t xml:space="preserve">. </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 xml:space="preserve">Установлено, что клиповое мышление приводит к потере когнитивных процессов высшего порядка, включая абстрактную лексику, внимательность, рефлексию и критическое мышление [2]. Что, в конечном итоге, приводит к изменениям сознания и личности в сторону их упрощения и регресса до подчиненности простейшим сиюминутным потребностям. Эти изменения рассматриваются как защита от информационной перегрузки и своеобразный способ отдыха при выполнении множества задач одновременно. </w:t>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Проведенные психологами эксперименты показывают, что среди подрастающего поколения резко снизился коэффициент усвоения знаний. Стали возникать сложности с усвоением программ обучения в университете, которые требуют восприятия и переработки больших объемов информации. А также проблемы с анализом, вычленением сути и принятием на основе этого решения — ведь способность выстраивать цепочку из последовательности действий от существующего положения до поставленной цели подразумевает наличие «длительного» мышления.</w:t>
      </w:r>
      <w:r>
        <w:rPr>
          <w:rFonts w:ascii="Times New Roman" w:hAnsi="Times New Roman"/>
          <w:color w:val="000000"/>
          <w:sz w:val="24"/>
          <w:szCs w:val="24"/>
        </w:rPr>
        <w:t xml:space="preserve"> </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Под критическим мышлением понимается система суждений, которая используется для анализа вещей и событий с критической точки зрения с формулированием обоснованных выводов и позволяет выносить обоснованные оценки, интерпретации, а также корректно применять полученные результаты к ситуациям и проблемам </w:t>
      </w:r>
      <w:r>
        <w:rPr>
          <w:rFonts w:ascii="Times New Roman" w:hAnsi="Times New Roman" w:eastAsia="Times New Roman"/>
          <w:color w:val="000000"/>
          <w:sz w:val="24"/>
          <w:szCs w:val="24"/>
        </w:rPr>
        <w:t>[4].</w:t>
      </w:r>
      <w:r>
        <w:rPr>
          <w:rFonts w:ascii="Times New Roman" w:hAnsi="Times New Roman"/>
          <w:color w:val="000000"/>
          <w:sz w:val="24"/>
          <w:szCs w:val="24"/>
        </w:rPr>
        <w:t xml:space="preserve"> Критическое мышление — это способность человека ставить под сомнение поступающую информацию, включая собственные убеждения. В узком смысле критическое мышление означает «корректную оценку утверждений», которая требует навыков, обоснованных и эффективных для конкретной ситуации и типа решаемой задачи.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Для критического мышления характерно построение логических умозаключений, создание согласованных между собой логических моделей и принятие обоснованных решений, касающихся того, отклонить какое-либо суждение, согласиться с ним или временно отложить его рассмотрение. Все это подразумевает психическую активность, направленную на решение конкретной когнитивной задачи.</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Психологический анализ проблемы предполагает, прежде всего, изучение интеллектуальных навыков и умений, среди которых оценка аргументов, умение распознавать софизмы и бороться с когнитивными искажениями.</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 настоящее время существует большое количество методов и приемов для развития критического мышления для использования педагогами на занятиях. Эти методы базируются на «культуре критического мышления при анализе текста», «технологии критического мышления», базовой модели трех стадий организации учебного процесса: «Вызов — осмысление — размышление», «кластер», «Двойной дневник», таблица, которую авторы назвали: «Знаю, хочу узнать, узнал», ТАСК-анализ (Тезис — Анализ — Синтез — Ключ) и др. (И. В. Муштавинская).</w:t>
      </w:r>
    </w:p>
    <w:p>
      <w:pPr>
        <w:ind w:firstLine="284"/>
        <w:spacing w:after="0" w:line="240" w:lineRule="auto"/>
        <w:jc w:val="both"/>
        <w:tabs defTabSz="708">
          <w:tab w:val="left" w:pos="1030" w:leader="none"/>
        </w:tabs>
        <w:rPr>
          <w:rFonts w:ascii="Times New Roman" w:hAnsi="Times New Roman"/>
          <w:color w:val="000000"/>
          <w:sz w:val="24"/>
          <w:szCs w:val="24"/>
        </w:rPr>
      </w:pPr>
      <w:r>
        <w:rPr>
          <w:rFonts w:ascii="Times New Roman" w:hAnsi="Times New Roman"/>
          <w:color w:val="000000"/>
          <w:sz w:val="24"/>
          <w:szCs w:val="24"/>
        </w:rPr>
        <w:t xml:space="preserve">В реальной практике школьной и вузовской работы пока доминируют традиционные образовательные технологии, которые не позволяют достигать высоких результатов в обучении критическому мышлению и не вызывают большого интереса у обучающихся, привыкших воспринимать лишь короткий по времени эмоциональный ряд </w:t>
      </w:r>
      <w:r>
        <w:rPr>
          <w:rFonts w:ascii="Times New Roman" w:hAnsi="Times New Roman" w:eastAsia="Times New Roman"/>
          <w:color w:val="000000"/>
          <w:sz w:val="24"/>
          <w:szCs w:val="24"/>
        </w:rPr>
        <w:t xml:space="preserve">с опорой на ощущения без выделения существенных и несущественных признаков. </w:t>
      </w:r>
      <w:r>
        <w:rPr>
          <w:rFonts w:ascii="Times New Roman" w:hAnsi="Times New Roman"/>
          <w:color w:val="000000"/>
          <w:sz w:val="24"/>
          <w:szCs w:val="24"/>
        </w:rPr>
        <w:t>Поэтому актуален поиск технологий, соответствующих возможностям старшеклассников и студентов и вызывающих у них интерес.</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«Fallacymania» — это игра, в ходе которой игроки учатся выявлять софизмы, т. е. псевдоаргументы, которые намеренно используются в дискуссиях, выступлениях, статьях и т. п. для введения оппонента в заблуждение или манипуляции аудиторией.</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Игра протекает в виде импровизированного спора, в котором спорщики аргументируют свою позицию с помощью софизмов. Группа отгадчиков в это же время пытается распознать софизмы, используемые спорщиками. В ходе игры участники приобретают навыки замечать и узнавать псевдоаргументы.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Для проведения занятий был использован официальный игровой комплект «Fallacymania», созданный А. Поповым, Ю. Барановым, А. Горбатовой и Д. Яхонтовым на основе произведений Дэвида Маккандлесса, Джесси Ричардсона и Александра Образа.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Для игры нужно 3—20 игроков, которые разбиваются на 2 группы: спорщики (2—10 игроков) и отгадчики (1—10 игроков). Ведущий может играть в любой из этих ролей. Среди реквизитов для игры: колода карт софизмов, содержащая также 1 карту «Зеро»; 10 листов с софизмами для отгадчиков; ручки и бумага для каждого из отгадчиков — для подсчета очков; 50 карт попыток для отгадчиков.</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Игра идет в реальном времени. Спорщики говорят фразы в поддержку своего тезиса, а также поддерживают или опровергают тезисы других спорщиков. Но все это должно делаться с использованием софизмов, которые есть у спорщиков на картах. У спорщиков нет условий победы и поражения; их цель — попрактиковаться использовать софизмы так, чтобы аргументы звучали убедительно. Отгадчики смотрят дебаты и пытаются угадать, какие софизмы используют спорщики. Отгадчики соревнуются между собой, кто наберет больше очков за угаданные софизмы.</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Занятия по развитию критического мышления проводились в 2022 и 2023 годах со старшеклассниками гимназии № 30 г. и СОШ № 48 г. Петрозаводска, со студентами, обучающимися на кафедре психологии, а также с активистами профбюро Института педагогики и психологии ПетрГУ в рамках «Школы ИПП» в ноябре 2022 года. Всего в исследовании приняло участие 23 старшеклассника и 46 студентов. Для исследования использовались специально разработанная анкета и данные, полученные с помощью наблюдения и бесед.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Результаты исследования показали, что игра «Fallacymania» и ее стимульный материал позитивно и с интересом воспринимаются как старшеклассниками, так и студентами.</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Обучающиеся высоко оценили доступность материалов (43,5 % согласились с утверждением «в основном понятно», 56,5 % — «почти все понятно»). Среди самых понятных были названы такие софизмы, как «обращение к силе», «аргумент к социальной неуспешности», «аргументация новизной», «мнение масс», «апелляция к авторитету», «анонимный авторитет», «апелляция к традициям», «случай из жизни», «поспешное обобщение», «ошибка наблюдателя». Таким образом, выявилось, что как старшеклассникам, так и студентам достаточно понятны маневры, при которых говорящий вместо аргументации по сути обсуждаемого вопроса переходит к внешним или ситуационным моментам (авторитеты, сила, новизна ситуации, случай, наблюдение).</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Существенные трудности вызывали софизмы «форма поверх содержания», «порочный круг», «нефальсифицируемость» и «презумпция типичности». На достаточно высокий уровень сложности освоения содержания игры указали больше половины школьников (86,7 %), и 65,2 % студентов.</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Выявился ряд трудностей, с которыми школьники и студенты столкнулись при освоении темы. Как у школьников, так и студентов наибольшие затруднения вызвали те софизмы, которые предполагали логический анализ. Например, наличие вывода среди причин, невозможность опровергнуть из-за отсутствия способа это сделать, приравнивание понятия к более общей категории. Вероятно, сложности при обработке информации, требующей использования когнитивных процессов высшего порядка, связаны с</w:t>
      </w:r>
      <w:r>
        <w:rPr>
          <w:rFonts w:ascii="Times New Roman" w:hAnsi="Times New Roman" w:eastAsia="Times New Roman"/>
          <w:color w:val="000000"/>
          <w:sz w:val="24"/>
          <w:szCs w:val="24"/>
        </w:rPr>
        <w:t xml:space="preserve"> п</w:t>
      </w:r>
      <w:r>
        <w:rPr>
          <w:rFonts w:ascii="Times New Roman" w:hAnsi="Times New Roman"/>
          <w:color w:val="000000"/>
          <w:sz w:val="24"/>
          <w:szCs w:val="24"/>
        </w:rPr>
        <w:t>ривычкой юношей и девушек оперировать короткой чувственной реальностью с уходом от логических рассуждений, их клиповым мышлением. Кроме того, нельзя исключить и того, что возможность справиться с такого рода задачами связана с особенностями развития абстрактно-логического мышления конкретных индивидов в большей степени, чем с их возрастом и образованием. Выявление причин такого положения вещей необходимо изучать дополнительно.</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Также опрошенные отметили достаточно высокую сложность заданий, при которых необходимо было придумывать аргументы достаточно быстро, сообразно ходу игры. Вместе с тем, по их мнению, возможность выбора из большого разнообразия софизмов делает игру доступной, в том числе и для старшеклассников. В связи с чем был сделан вывод о необходимости опоры на более понятные аргументы при использовании игры со школьниками и в студенческих группах, имеющих слабую подготовку. Для чего карточки с заданиями, вызывающими трудности у многих игроков этого возраста, предварительно изымались перед началом игры.</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 ходе игры было также обнаружено, что юноши и девушки затруднялись охватить материал полностью даже после специально отведенного для ознакомления с софизмами достаточно большого времени. В связи с чем была использована упрощенная версия, при которой отгадчикам предварительно назывался цвет карточек, которые будут использованы в конкретном диалоге, предлагаемом для анализа, что существенно сужало поле поиска ответа. Взрослым же игрокам такое упрощение не требовалось, а если и использовалось, то вызывало недовольство, т. к. «становилось неинтересно, потому что слишком легко».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Исходя из анализа ответов, можно заключить: несмотря на сложность материала и наличие «трудных» тем, использование средств игры «Fallacymania» и ее стимульных материалов дает возможность обучать различению аргументов разного качества, выявлять ситуации, в которых используются софизмы и развивать критическое мышление. </w:t>
      </w:r>
    </w:p>
    <w:p>
      <w:pPr>
        <w:ind w:firstLine="284"/>
        <w:spacing w:after="0" w:line="240" w:lineRule="auto"/>
        <w:jc w:val="both"/>
        <w:tabs defTabSz="708">
          <w:tab w:val="left" w:pos="3170" w:leader="none"/>
        </w:tabs>
        <w:rPr>
          <w:rFonts w:ascii="Times New Roman" w:hAnsi="Times New Roman"/>
          <w:color w:val="000000"/>
          <w:sz w:val="24"/>
          <w:szCs w:val="24"/>
        </w:rPr>
      </w:pPr>
      <w:r>
        <w:rPr>
          <w:rFonts w:ascii="Times New Roman" w:hAnsi="Times New Roman"/>
          <w:color w:val="000000"/>
          <w:sz w:val="24"/>
          <w:szCs w:val="24"/>
        </w:rPr>
      </w:r>
    </w:p>
    <w:p>
      <w:pPr>
        <w:spacing w:after="0" w:line="240" w:lineRule="auto"/>
        <w:jc w:val="center"/>
        <w:tabs defTabSz="708">
          <w:tab w:val="left" w:pos="3170" w:leader="none"/>
        </w:tabs>
        <w:rPr>
          <w:rFonts w:ascii="Times New Roman" w:hAnsi="Times New Roman"/>
          <w:b/>
          <w:bCs/>
          <w:color w:val="000000"/>
          <w:sz w:val="24"/>
          <w:szCs w:val="24"/>
        </w:rPr>
      </w:pPr>
      <w:r>
        <w:rPr>
          <w:rFonts w:ascii="Times New Roman" w:hAnsi="Times New Roman"/>
          <w:b/>
          <w:bCs/>
          <w:color w:val="000000"/>
          <w:sz w:val="24"/>
          <w:szCs w:val="24"/>
        </w:rPr>
        <w:t>Список литературы</w:t>
      </w:r>
    </w:p>
    <w:p>
      <w:pPr>
        <w:ind w:firstLine="284"/>
        <w:spacing w:after="0" w:line="240" w:lineRule="auto"/>
        <w:jc w:val="both"/>
        <w:tabs defTabSz="708">
          <w:tab w:val="left" w:pos="3170" w:leader="none"/>
        </w:tabs>
        <w:rPr>
          <w:rFonts w:ascii="Times New Roman" w:hAnsi="Times New Roman"/>
          <w:b/>
          <w:bCs/>
          <w:color w:val="000000"/>
          <w:sz w:val="24"/>
          <w:szCs w:val="24"/>
        </w:rPr>
      </w:pPr>
      <w:r>
        <w:rPr>
          <w:rFonts w:ascii="Times New Roman" w:hAnsi="Times New Roman"/>
          <w:b/>
          <w:bCs/>
          <w:color w:val="000000"/>
          <w:sz w:val="24"/>
          <w:szCs w:val="24"/>
        </w:rPr>
      </w:r>
    </w:p>
    <w:p>
      <w:pPr>
        <w:ind w:firstLine="284"/>
        <w:spacing w:after="0" w:line="240" w:lineRule="auto"/>
        <w:jc w:val="both"/>
        <w:rPr>
          <w:rFonts w:ascii="Times New Roman" w:hAnsi="Times New Roman" w:eastAsia="Times New Roman"/>
          <w:color w:val="000000"/>
          <w:sz w:val="24"/>
          <w:szCs w:val="24"/>
        </w:rPr>
      </w:pPr>
      <w:r>
        <w:rPr>
          <w:rFonts w:ascii="Times New Roman" w:hAnsi="Times New Roman" w:eastAsia="Times New Roman"/>
          <w:color w:val="000000"/>
          <w:sz w:val="24"/>
          <w:szCs w:val="24"/>
        </w:rPr>
        <w:t>1. </w:t>
      </w:r>
      <w:r>
        <w:rPr>
          <w:rFonts w:ascii="Times New Roman" w:hAnsi="Times New Roman" w:eastAsia="Times New Roman"/>
          <w:i/>
          <w:color w:val="000000"/>
          <w:sz w:val="24"/>
          <w:szCs w:val="24"/>
        </w:rPr>
        <w:t>Вартанова Е. Л</w:t>
      </w:r>
      <w:r>
        <w:rPr>
          <w:rFonts w:ascii="Times New Roman" w:hAnsi="Times New Roman" w:eastAsia="Times New Roman"/>
          <w:color w:val="000000"/>
          <w:sz w:val="24"/>
          <w:szCs w:val="24"/>
        </w:rPr>
        <w:t>. Русский язык в онлайн-СМИ: вызовы цифровой эпохи / Е. </w:t>
      </w:r>
      <w:r>
        <w:rPr>
          <w:rFonts w:ascii="Times New Roman" w:hAnsi="Times New Roman"/>
          <w:sz w:val="24"/>
          <w:szCs w:val="24"/>
        </w:rPr>
        <w:t xml:space="preserve">Л. Вартанова // </w:t>
      </w:r>
      <w:r>
        <w:rPr>
          <w:rFonts w:ascii="Times New Roman" w:hAnsi="Times New Roman" w:eastAsia="Times New Roman"/>
          <w:color w:val="000000"/>
          <w:sz w:val="24"/>
          <w:szCs w:val="24"/>
        </w:rPr>
        <w:t>Русский язык в Интернете: личность, общество, коммуникация, культура</w:t>
      </w:r>
      <w:r>
        <w:rPr>
          <w:rFonts w:ascii="Times New Roman" w:hAnsi="Times New Roman" w:eastAsia="Times New Roman"/>
          <w:color w:val="000000"/>
          <w:sz w:val="24"/>
          <w:szCs w:val="24"/>
        </w:rPr>
        <w:t xml:space="preserve"> /</w:t>
      </w:r>
      <w:r>
        <w:rPr>
          <w:rFonts w:ascii="Times New Roman" w:hAnsi="Times New Roman" w:eastAsia="Times New Roman"/>
          <w:color w:val="000000"/>
          <w:sz w:val="24"/>
          <w:szCs w:val="24"/>
        </w:rPr>
        <w:t>/ Сборник статей I Международной научно-практической конференции.</w:t>
      </w:r>
      <w:r>
        <w:rPr>
          <w:rFonts w:ascii="Times New Roman" w:hAnsi="Times New Roman" w:eastAsia="Times New Roman"/>
          <w:color w:val="000000"/>
          <w:sz w:val="24"/>
          <w:szCs w:val="24"/>
        </w:rPr>
        <w:t xml:space="preserve"> — </w:t>
      </w:r>
      <w:r>
        <w:rPr>
          <w:rFonts w:ascii="Times New Roman" w:hAnsi="Times New Roman" w:eastAsia="Times New Roman"/>
          <w:color w:val="000000"/>
          <w:sz w:val="24"/>
          <w:szCs w:val="24"/>
        </w:rPr>
        <w:t>М</w:t>
      </w:r>
      <w:r>
        <w:rPr>
          <w:rFonts w:ascii="Times New Roman" w:hAnsi="Times New Roman" w:eastAsia="Times New Roman"/>
          <w:color w:val="000000"/>
          <w:sz w:val="24"/>
          <w:szCs w:val="24"/>
        </w:rPr>
        <w:t>осква </w:t>
      </w:r>
      <w:r>
        <w:rPr>
          <w:rFonts w:ascii="Times New Roman" w:hAnsi="Times New Roman" w:eastAsia="Times New Roman"/>
          <w:color w:val="000000"/>
          <w:sz w:val="24"/>
          <w:szCs w:val="24"/>
        </w:rPr>
        <w:t>:</w:t>
      </w:r>
      <w:r>
        <w:rPr>
          <w:rFonts w:ascii="Times New Roman" w:hAnsi="Times New Roman" w:eastAsia="Times New Roman"/>
          <w:color w:val="000000"/>
          <w:sz w:val="24"/>
          <w:szCs w:val="24"/>
        </w:rPr>
        <w:t xml:space="preserve"> Российский университет дружбы наро</w:t>
      </w:r>
      <w:r>
        <w:rPr>
          <w:rFonts w:ascii="Times New Roman" w:hAnsi="Times New Roman" w:eastAsia="Times New Roman"/>
          <w:color w:val="000000"/>
          <w:sz w:val="24"/>
          <w:szCs w:val="24"/>
        </w:rPr>
        <w:t>дов,</w:t>
      </w:r>
      <w:r>
        <w:rPr>
          <w:rFonts w:ascii="Times New Roman" w:hAnsi="Times New Roman" w:eastAsia="Times New Roman"/>
          <w:color w:val="000000"/>
          <w:sz w:val="24"/>
          <w:szCs w:val="24"/>
        </w:rPr>
        <w:t xml:space="preserve"> </w:t>
      </w:r>
      <w:r>
        <w:rPr>
          <w:rFonts w:ascii="Times New Roman" w:hAnsi="Times New Roman" w:eastAsia="Times New Roman"/>
          <w:color w:val="000000"/>
          <w:sz w:val="24"/>
          <w:szCs w:val="24"/>
        </w:rPr>
        <w:t>2017.</w:t>
      </w:r>
      <w:r>
        <w:rPr>
          <w:rFonts w:ascii="Times New Roman" w:hAnsi="Times New Roman" w:eastAsia="Times New Roman"/>
          <w:color w:val="000000"/>
          <w:sz w:val="24"/>
          <w:szCs w:val="24"/>
        </w:rPr>
        <w:t xml:space="preserve"> — </w:t>
      </w:r>
      <w:r>
        <w:rPr>
          <w:rFonts w:ascii="Times New Roman" w:hAnsi="Times New Roman" w:eastAsia="Times New Roman"/>
          <w:color w:val="000000"/>
          <w:sz w:val="24"/>
          <w:szCs w:val="24"/>
        </w:rPr>
        <w:t>С. </w:t>
      </w:r>
      <w:r>
        <w:rPr>
          <w:rFonts w:ascii="Times New Roman" w:hAnsi="Times New Roman" w:eastAsia="Times New Roman"/>
          <w:color w:val="000000"/>
          <w:sz w:val="24"/>
          <w:szCs w:val="24"/>
        </w:rPr>
        <w:t>7</w:t>
      </w:r>
      <w:r>
        <w:rPr>
          <w:rFonts w:ascii="Times New Roman" w:hAnsi="Times New Roman" w:eastAsia="Times New Roman"/>
          <w:color w:val="000000"/>
          <w:sz w:val="24"/>
          <w:szCs w:val="24"/>
        </w:rPr>
        <w:t>—</w:t>
      </w:r>
      <w:r>
        <w:rPr>
          <w:rFonts w:ascii="Times New Roman" w:hAnsi="Times New Roman" w:eastAsia="Times New Roman"/>
          <w:color w:val="000000"/>
          <w:sz w:val="24"/>
          <w:szCs w:val="24"/>
        </w:rPr>
        <w:t>15.</w:t>
      </w:r>
      <w:r>
        <w:rPr>
          <w:rFonts w:ascii="Times New Roman" w:hAnsi="Times New Roman" w:eastAsia="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eastAsia="Times New Roman"/>
          <w:color w:val="000000"/>
          <w:sz w:val="24"/>
          <w:szCs w:val="24"/>
        </w:rPr>
        <w:t>2. </w:t>
      </w:r>
      <w:r>
        <w:rPr>
          <w:rFonts w:ascii="Times New Roman" w:hAnsi="Times New Roman" w:eastAsia="Times New Roman"/>
          <w:i/>
          <w:color w:val="000000"/>
          <w:sz w:val="24"/>
          <w:szCs w:val="24"/>
        </w:rPr>
        <w:t>Голубева С. Л</w:t>
      </w:r>
      <w:r>
        <w:rPr>
          <w:rFonts w:ascii="Times New Roman" w:hAnsi="Times New Roman" w:eastAsia="Times New Roman"/>
          <w:color w:val="000000"/>
          <w:sz w:val="24"/>
          <w:szCs w:val="24"/>
        </w:rPr>
        <w:t>. Влияние Интернета на трансформацию языка и мышления / С. Л. Голубева // Научное мнение. — 2014. — № 10-1. — С. 165—171.</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3. </w:t>
      </w:r>
      <w:r>
        <w:rPr>
          <w:rFonts w:ascii="Times New Roman" w:hAnsi="Times New Roman"/>
          <w:i/>
          <w:color w:val="000000"/>
          <w:sz w:val="24"/>
          <w:szCs w:val="24"/>
        </w:rPr>
        <w:t>Секач М. Ф</w:t>
      </w:r>
      <w:r>
        <w:rPr>
          <w:rFonts w:ascii="Times New Roman" w:hAnsi="Times New Roman"/>
          <w:color w:val="000000"/>
          <w:sz w:val="24"/>
          <w:szCs w:val="24"/>
        </w:rPr>
        <w:t xml:space="preserve">. Логическое и эмоциональное восприятие — актуальная проблема психологии информационного общества / М. Ф. Секач, Э. Н. Рзаева // Человеческий капитал. — 2014. № 7 (67). — С. 110—113.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4. </w:t>
      </w:r>
      <w:r>
        <w:rPr>
          <w:rFonts w:ascii="Times New Roman" w:hAnsi="Times New Roman"/>
          <w:i/>
          <w:color w:val="000000"/>
          <w:sz w:val="24"/>
          <w:szCs w:val="24"/>
        </w:rPr>
        <w:t>Халперн Д</w:t>
      </w:r>
      <w:r>
        <w:rPr>
          <w:rFonts w:ascii="Times New Roman" w:hAnsi="Times New Roman"/>
          <w:color w:val="000000"/>
          <w:sz w:val="24"/>
          <w:szCs w:val="24"/>
        </w:rPr>
        <w:t>. Психология критического мышления / Д. Халперн. — Санкт-Петербург : Питер, 2000. — 512 с.</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5. </w:t>
      </w:r>
      <w:r>
        <w:rPr>
          <w:rFonts w:ascii="Times New Roman" w:hAnsi="Times New Roman"/>
          <w:i/>
          <w:color w:val="000000"/>
          <w:sz w:val="24"/>
          <w:szCs w:val="24"/>
        </w:rPr>
        <w:t>Шеметова Т. Н</w:t>
      </w:r>
      <w:r>
        <w:rPr>
          <w:rFonts w:ascii="Times New Roman" w:hAnsi="Times New Roman"/>
          <w:color w:val="000000"/>
          <w:sz w:val="24"/>
          <w:szCs w:val="24"/>
        </w:rPr>
        <w:t>. Клиповое интернет-сознание как тип пралогичного мышления / Т. Н. Шеметова // Вестник Нижегородского университета им. Н. И. Лобачевского. — 2013. — № 4-2. — С. 254—259.</w:t>
      </w:r>
    </w:p>
    <w:p>
      <w:pPr>
        <w:pStyle w:val="para17"/>
      </w:pPr>
      <w:r>
        <w:br w:type="page"/>
      </w:r>
      <w:bookmarkStart w:id="35" w:name="_Оглавление000022"/>
      <w:r/>
      <w:r>
        <w:rPr>
          <w:rFonts w:ascii="Symbol" w:hAnsi="Symbol" w:eastAsia="Symbol" w:cs="Symbol"/>
          <w:bCs w:val="0"/>
          <w:iCs w:val="0"/>
          <w:color w:val="ffffff"/>
          <w:kern w:val="1" kern="1"/>
          <w:lang w:eastAsia="zh-cn"/>
        </w:rPr>
        <w:t xml:space="preserve">© </w:t>
      </w:r>
      <w:r>
        <w:t xml:space="preserve">Л. И. Теплова, А. И. Дударева, А. Д. Дорофеева, З. Ф. Локтюшова </w:t>
      </w:r>
      <w:bookmarkEnd w:id="35"/>
      <w:r/>
    </w:p>
    <w:p>
      <w:pPr>
        <w:ind w:firstLine="284"/>
        <w:spacing w:after="0" w:line="240" w:lineRule="auto"/>
        <w:jc w:val="right"/>
        <w:rPr>
          <w:rFonts w:ascii="Times New Roman" w:hAnsi="Times New Roman"/>
          <w:i/>
          <w:iCs/>
          <w:color w:val="000000"/>
          <w:sz w:val="24"/>
          <w:szCs w:val="24"/>
        </w:rPr>
      </w:pPr>
      <w:r>
        <w:rPr>
          <w:rFonts w:ascii="Times New Roman" w:hAnsi="Times New Roman"/>
          <w:i/>
          <w:iCs/>
          <w:color w:val="000000"/>
          <w:sz w:val="24"/>
          <w:szCs w:val="24"/>
        </w:rPr>
        <w:t>ФБГОУ ВО «Петрозаводский государственный университет»</w:t>
      </w:r>
    </w:p>
    <w:p>
      <w:pPr>
        <w:ind w:firstLine="284"/>
        <w:spacing w:after="0" w:line="240" w:lineRule="auto"/>
        <w:jc w:val="right"/>
        <w:rPr>
          <w:rFonts w:ascii="Times New Roman" w:hAnsi="Times New Roman"/>
          <w:iCs/>
          <w:color w:val="000000"/>
          <w:sz w:val="24"/>
          <w:szCs w:val="24"/>
        </w:rPr>
      </w:pPr>
      <w:r>
        <w:rPr>
          <w:rFonts w:ascii="Times New Roman" w:hAnsi="Times New Roman"/>
          <w:i/>
          <w:iCs/>
          <w:color w:val="000000"/>
          <w:sz w:val="24"/>
          <w:szCs w:val="24"/>
        </w:rPr>
        <w:t>г. Петрозаводск, Россия</w:t>
      </w:r>
      <w:r>
        <w:rPr>
          <w:rFonts w:ascii="Times New Roman" w:hAnsi="Times New Roman"/>
          <w:iCs/>
          <w:color w:val="000000"/>
          <w:sz w:val="24"/>
          <w:szCs w:val="24"/>
        </w:rPr>
      </w:r>
    </w:p>
    <w:p>
      <w:pPr>
        <w:ind w:firstLine="284"/>
        <w:spacing w:after="0" w:line="240" w:lineRule="auto"/>
        <w:jc w:val="both"/>
        <w:rPr>
          <w:rFonts w:ascii="Times New Roman" w:hAnsi="Times New Roman"/>
          <w:b/>
          <w:bCs/>
          <w:color w:val="000000"/>
          <w:sz w:val="24"/>
          <w:szCs w:val="24"/>
          <w:shd w:val="clear" w:fill="ffffff"/>
        </w:rPr>
      </w:pPr>
      <w:r>
        <w:rPr>
          <w:rFonts w:ascii="Times New Roman" w:hAnsi="Times New Roman"/>
          <w:b/>
          <w:bCs/>
          <w:color w:val="000000"/>
          <w:sz w:val="24"/>
          <w:szCs w:val="24"/>
          <w:shd w:val="clear" w:fill="ffffff"/>
        </w:rPr>
      </w:r>
    </w:p>
    <w:p>
      <w:pPr>
        <w:pStyle w:val="para16"/>
      </w:pPr>
      <w:bookmarkStart w:id="36" w:name="_Оглавление000023"/>
      <w:r>
        <w:t>ИНТЕРНЕТ-АКТИВНОСТЬ УЧАЩИХСЯ 6—9-х КЛАССОВ</w:t>
      </w:r>
      <w:bookmarkEnd w:id="36"/>
      <w:r/>
    </w:p>
    <w:p>
      <w:pPr>
        <w:ind w:firstLine="284"/>
        <w:spacing w:after="0" w:line="240" w:lineRule="auto"/>
        <w:jc w:val="both"/>
        <w:rPr>
          <w:rFonts w:ascii="Times New Roman" w:hAnsi="Times New Roman"/>
          <w:b/>
          <w:bCs/>
          <w:color w:val="000000"/>
          <w:sz w:val="24"/>
          <w:szCs w:val="24"/>
          <w:shd w:val="clear" w:fill="ffffff"/>
        </w:rPr>
      </w:pPr>
      <w:r>
        <w:rPr>
          <w:rFonts w:ascii="Times New Roman" w:hAnsi="Times New Roman"/>
          <w:b/>
          <w:bCs/>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b/>
          <w:bCs/>
          <w:i/>
          <w:iCs/>
          <w:color w:val="000000"/>
          <w:sz w:val="24"/>
          <w:szCs w:val="24"/>
          <w:shd w:val="clear" w:fill="ffffff"/>
        </w:rPr>
        <w:t>Аннотация</w:t>
      </w:r>
      <w:r>
        <w:rPr>
          <w:rFonts w:ascii="Times New Roman" w:hAnsi="Times New Roman"/>
          <w:b/>
          <w:bCs/>
          <w:i/>
          <w:color w:val="000000"/>
          <w:sz w:val="24"/>
          <w:szCs w:val="24"/>
          <w:shd w:val="clear" w:fill="ffffff"/>
        </w:rPr>
        <w:t>.</w:t>
      </w:r>
      <w:r>
        <w:rPr>
          <w:rFonts w:ascii="Times New Roman" w:hAnsi="Times New Roman"/>
          <w:i/>
          <w:color w:val="000000"/>
          <w:sz w:val="24"/>
          <w:szCs w:val="24"/>
          <w:shd w:val="clear" w:fill="ffffff"/>
        </w:rPr>
        <w:t xml:space="preserve"> </w:t>
      </w:r>
      <w:r>
        <w:rPr>
          <w:rFonts w:ascii="Times New Roman" w:hAnsi="Times New Roman"/>
          <w:color w:val="000000"/>
          <w:sz w:val="24"/>
          <w:szCs w:val="24"/>
          <w:shd w:val="clear" w:fill="ffffff"/>
        </w:rPr>
        <w:t>В статье представлены результаты изучения интернет-активности учащихся 6—9-х классов Карелии. Выявлены виды деятельности, которые занимают б</w:t>
      </w:r>
      <w:r>
        <w:rPr>
          <w:rFonts w:ascii="Times New Roman" w:hAnsi="Times New Roman"/>
          <w:iCs/>
          <w:color w:val="000000"/>
          <w:sz w:val="24"/>
          <w:szCs w:val="24"/>
          <w:shd w:val="clear" w:fill="ffffff"/>
        </w:rPr>
        <w:t>о</w:t>
      </w:r>
      <w:r>
        <w:rPr>
          <w:rFonts w:ascii="Times New Roman" w:hAnsi="Times New Roman"/>
          <w:color w:val="000000"/>
          <w:sz w:val="24"/>
          <w:szCs w:val="24"/>
          <w:shd w:val="clear" w:fill="ffffff"/>
        </w:rPr>
        <w:t>льшее количество времени подростков, показана степень вовлеченности в Интернет подростков.</w:t>
      </w:r>
    </w:p>
    <w:p>
      <w:pPr>
        <w:ind w:firstLine="284"/>
        <w:spacing w:after="0" w:line="240" w:lineRule="auto"/>
        <w:jc w:val="both"/>
        <w:rPr>
          <w:rFonts w:ascii="Times New Roman" w:hAnsi="Times New Roman"/>
          <w:i/>
          <w:color w:val="000000"/>
          <w:sz w:val="24"/>
          <w:szCs w:val="24"/>
          <w:shd w:val="clear" w:fill="ffffff"/>
        </w:rPr>
      </w:pPr>
      <w:r>
        <w:rPr>
          <w:rFonts w:ascii="Times New Roman" w:hAnsi="Times New Roman"/>
          <w:b/>
          <w:bCs/>
          <w:i/>
          <w:iCs/>
          <w:color w:val="000000"/>
          <w:sz w:val="24"/>
          <w:szCs w:val="24"/>
          <w:shd w:val="clear" w:fill="ffffff"/>
        </w:rPr>
        <w:t>Ключевые слова</w:t>
      </w:r>
      <w:r>
        <w:rPr>
          <w:rFonts w:ascii="Times New Roman" w:hAnsi="Times New Roman"/>
          <w:b/>
          <w:bCs/>
          <w:i/>
          <w:color w:val="000000"/>
          <w:sz w:val="24"/>
          <w:szCs w:val="24"/>
          <w:shd w:val="clear" w:fill="ffffff"/>
        </w:rPr>
        <w:t>:</w:t>
      </w:r>
      <w:r>
        <w:rPr>
          <w:rFonts w:ascii="Times New Roman" w:hAnsi="Times New Roman"/>
          <w:i/>
          <w:color w:val="000000"/>
          <w:sz w:val="24"/>
          <w:szCs w:val="24"/>
          <w:shd w:val="clear" w:fill="ffffff"/>
        </w:rPr>
        <w:t xml:space="preserve"> </w:t>
      </w:r>
      <w:r>
        <w:rPr>
          <w:rFonts w:ascii="Times New Roman" w:hAnsi="Times New Roman"/>
          <w:color w:val="000000"/>
          <w:sz w:val="24"/>
          <w:szCs w:val="24"/>
          <w:shd w:val="clear" w:fill="ffffff"/>
        </w:rPr>
        <w:t>подростки, интернет-активность, интернет-вовлеченность</w:t>
      </w:r>
      <w:r>
        <w:rPr>
          <w:rFonts w:ascii="Times New Roman" w:hAnsi="Times New Roman"/>
          <w:i/>
          <w:color w:val="000000"/>
          <w:sz w:val="24"/>
          <w:szCs w:val="24"/>
          <w:shd w:val="clear" w:fill="ffffff"/>
        </w:rPr>
        <w:t>.</w:t>
      </w:r>
      <w:r>
        <w:rPr>
          <w:rFonts w:ascii="Times New Roman" w:hAnsi="Times New Roman"/>
          <w:i/>
          <w:color w:val="000000"/>
          <w:sz w:val="24"/>
          <w:szCs w:val="24"/>
          <w:shd w:val="clear" w:fill="ffffff"/>
        </w:rPr>
      </w:r>
    </w:p>
    <w:p>
      <w:pPr>
        <w:ind w:firstLine="284"/>
        <w:spacing w:after="0" w:line="240" w:lineRule="auto"/>
        <w:jc w:val="both"/>
        <w:rPr>
          <w:rFonts w:ascii="Times New Roman" w:hAnsi="Times New Roman"/>
          <w:iCs/>
          <w:color w:val="000000"/>
          <w:sz w:val="24"/>
          <w:szCs w:val="24"/>
        </w:rPr>
      </w:pPr>
      <w:r>
        <w:rPr>
          <w:rFonts w:ascii="Times New Roman" w:hAnsi="Times New Roman"/>
          <w:iCs/>
          <w:color w:val="000000"/>
          <w:sz w:val="24"/>
          <w:szCs w:val="24"/>
        </w:rPr>
      </w:r>
    </w:p>
    <w:p>
      <w:pPr>
        <w:spacing w:after="0" w:line="240" w:lineRule="auto"/>
        <w:jc w:val="right"/>
        <w:rPr>
          <w:rFonts w:ascii="Times New Roman" w:hAnsi="Times New Roman"/>
          <w:b/>
          <w:bCs/>
          <w:i/>
          <w:color w:val="000000"/>
          <w:sz w:val="24"/>
          <w:szCs w:val="24"/>
          <w:shd w:val="clear" w:fill="ffffff"/>
          <w:lang w:val="en-us"/>
        </w:rPr>
      </w:pPr>
      <w:r>
        <w:rPr>
          <w:rFonts w:ascii="Times New Roman" w:hAnsi="Times New Roman"/>
          <w:b/>
          <w:bCs/>
          <w:i/>
          <w:color w:val="000000"/>
          <w:sz w:val="24"/>
          <w:szCs w:val="24"/>
          <w:shd w:val="clear" w:fill="ffffff"/>
          <w:lang w:val="en-us"/>
        </w:rPr>
        <w:t>L. I. Teplova, A. I. Dudareva, A. D. Dorofeeva, Z. F. Loktyushova</w:t>
      </w:r>
    </w:p>
    <w:p>
      <w:pPr>
        <w:pStyle w:val="para8"/>
        <w:spacing w:before="0" w:after="0" w:beforeAutospacing="0" w:afterAutospacing="0"/>
        <w:jc w:val="right"/>
        <w:rPr>
          <w:i/>
          <w:iCs/>
          <w:color w:val="000000"/>
          <w:lang w:val="en-us"/>
        </w:rPr>
      </w:pPr>
      <w:r>
        <w:rPr>
          <w:i/>
          <w:iCs/>
          <w:color w:val="000000"/>
          <w:lang w:val="en-us"/>
        </w:rPr>
        <w:t>Petrozavodsk State University</w:t>
      </w:r>
    </w:p>
    <w:p>
      <w:pPr>
        <w:pStyle w:val="para8"/>
        <w:spacing w:before="0" w:after="0" w:beforeAutospacing="0" w:afterAutospacing="0"/>
        <w:jc w:val="right"/>
        <w:rPr>
          <w:i/>
          <w:iCs/>
          <w:color w:val="000000"/>
          <w:lang w:val="en-us"/>
        </w:rPr>
      </w:pPr>
      <w:r>
        <w:rPr>
          <w:i/>
          <w:iCs/>
          <w:color w:val="000000"/>
          <w:lang w:val="en-us"/>
        </w:rPr>
        <w:t>Petrozavodsk, Russia</w:t>
      </w:r>
    </w:p>
    <w:p>
      <w:pPr>
        <w:pStyle w:val="para8"/>
        <w:ind w:firstLine="284"/>
        <w:spacing w:before="0" w:after="0" w:beforeAutospacing="0" w:afterAutospacing="0"/>
        <w:jc w:val="both"/>
        <w:rPr>
          <w:i/>
          <w:iCs/>
          <w:color w:val="000000"/>
          <w:lang w:val="en-us"/>
        </w:rPr>
      </w:pPr>
      <w:r>
        <w:rPr>
          <w:i/>
          <w:iCs/>
          <w:color w:val="000000"/>
          <w:lang w:val="en-us"/>
        </w:rPr>
      </w:r>
    </w:p>
    <w:p>
      <w:pPr>
        <w:spacing w:after="0" w:line="240" w:lineRule="auto"/>
        <w:jc w:val="center"/>
        <w:rPr>
          <w:rFonts w:ascii="Times New Roman" w:hAnsi="Times New Roman"/>
          <w:b/>
          <w:bCs/>
          <w:color w:val="000000"/>
          <w:sz w:val="24"/>
          <w:szCs w:val="24"/>
          <w:shd w:val="clear" w:fill="ffffff"/>
          <w:lang w:val="en-us"/>
        </w:rPr>
      </w:pPr>
      <w:r>
        <w:rPr>
          <w:rFonts w:ascii="Times New Roman" w:hAnsi="Times New Roman"/>
          <w:b/>
          <w:bCs/>
          <w:color w:val="000000"/>
          <w:sz w:val="24"/>
          <w:szCs w:val="24"/>
          <w:shd w:val="clear" w:fill="ffffff"/>
          <w:lang w:val="en-us"/>
        </w:rPr>
        <w:t>INTERNET ACTIVITY OF STUDENTS IN GRADES 6—9</w:t>
      </w:r>
    </w:p>
    <w:p>
      <w:pPr>
        <w:spacing w:after="0" w:line="240" w:lineRule="auto"/>
        <w:jc w:val="center"/>
        <w:rPr>
          <w:rFonts w:ascii="Times New Roman" w:hAnsi="Times New Roman"/>
          <w:b/>
          <w:bCs/>
          <w:color w:val="000000"/>
          <w:sz w:val="24"/>
          <w:szCs w:val="24"/>
          <w:shd w:val="clear" w:fill="ffffff"/>
          <w:lang w:val="en-us"/>
        </w:rPr>
      </w:pPr>
      <w:r>
        <w:rPr>
          <w:rFonts w:ascii="Times New Roman" w:hAnsi="Times New Roman"/>
          <w:b/>
          <w:bCs/>
          <w:color w:val="000000"/>
          <w:sz w:val="24"/>
          <w:szCs w:val="24"/>
          <w:shd w:val="clear" w:fill="ffffff"/>
          <w:lang w:val="en-us"/>
        </w:rPr>
        <w:t>OF THE REPUBLIC OF KARELIA</w:t>
      </w:r>
    </w:p>
    <w:p>
      <w:pPr>
        <w:ind w:firstLine="284"/>
        <w:spacing w:after="0" w:line="240" w:lineRule="auto"/>
        <w:jc w:val="both"/>
        <w:rPr>
          <w:rFonts w:ascii="Times New Roman" w:hAnsi="Times New Roman"/>
          <w:b/>
          <w:bCs/>
          <w:i/>
          <w:color w:val="000000"/>
          <w:sz w:val="24"/>
          <w:szCs w:val="24"/>
          <w:shd w:val="clear" w:fill="ffffff"/>
          <w:lang w:val="en-us"/>
        </w:rPr>
      </w:pPr>
      <w:r>
        <w:rPr>
          <w:rFonts w:ascii="Times New Roman" w:hAnsi="Times New Roman"/>
          <w:b/>
          <w:bCs/>
          <w:i/>
          <w:color w:val="000000"/>
          <w:sz w:val="24"/>
          <w:szCs w:val="24"/>
          <w:shd w:val="clear" w:fill="ffffff"/>
          <w:lang w:val="en-us"/>
        </w:rPr>
      </w:r>
    </w:p>
    <w:p>
      <w:pPr>
        <w:ind w:firstLine="284"/>
        <w:spacing w:after="0" w:line="240" w:lineRule="auto"/>
        <w:jc w:val="both"/>
        <w:rPr>
          <w:rFonts w:ascii="Times New Roman" w:hAnsi="Times New Roman"/>
          <w:bCs/>
          <w:color w:val="000000"/>
          <w:sz w:val="24"/>
          <w:szCs w:val="24"/>
          <w:shd w:val="clear" w:fill="ffffff"/>
          <w:lang w:val="en-us"/>
        </w:rPr>
      </w:pPr>
      <w:r>
        <w:rPr>
          <w:rFonts w:ascii="Times New Roman" w:hAnsi="Times New Roman"/>
          <w:b/>
          <w:bCs/>
          <w:i/>
          <w:color w:val="000000"/>
          <w:sz w:val="24"/>
          <w:szCs w:val="24"/>
          <w:shd w:val="clear" w:fill="ffffff"/>
          <w:lang w:val="en-us"/>
        </w:rPr>
        <w:t>Abstract</w:t>
      </w:r>
      <w:r>
        <w:rPr>
          <w:rFonts w:ascii="Times New Roman" w:hAnsi="Times New Roman"/>
          <w:b/>
          <w:bCs/>
          <w:color w:val="000000"/>
          <w:sz w:val="24"/>
          <w:szCs w:val="24"/>
          <w:shd w:val="clear" w:fill="ffffff"/>
          <w:lang w:val="en-us"/>
        </w:rPr>
        <w:t xml:space="preserve">. </w:t>
      </w:r>
      <w:r>
        <w:rPr>
          <w:rFonts w:ascii="Times New Roman" w:hAnsi="Times New Roman"/>
          <w:bCs/>
          <w:color w:val="000000"/>
          <w:sz w:val="24"/>
          <w:szCs w:val="24"/>
          <w:shd w:val="clear" w:fill="ffffff"/>
          <w:lang w:val="en-us"/>
        </w:rPr>
        <w:t>The article presents the results of a study of Internet activity among students in grades 6—9 in Karelia. The types of activities performed by teenagers on the Internet are identified, and the degree of involvement of teenagers in the Internet is shown.</w:t>
      </w:r>
    </w:p>
    <w:p>
      <w:pPr>
        <w:ind w:firstLine="284"/>
        <w:spacing w:after="0" w:line="240" w:lineRule="auto"/>
        <w:jc w:val="both"/>
        <w:rPr>
          <w:rFonts w:ascii="Times New Roman" w:hAnsi="Times New Roman"/>
          <w:color w:val="000000"/>
          <w:sz w:val="24"/>
          <w:szCs w:val="24"/>
          <w:lang w:val="en-us"/>
        </w:rPr>
      </w:pPr>
      <w:r>
        <w:rPr>
          <w:rFonts w:ascii="Times New Roman" w:hAnsi="Times New Roman"/>
          <w:b/>
          <w:bCs/>
          <w:i/>
          <w:color w:val="000000"/>
          <w:sz w:val="24"/>
          <w:szCs w:val="24"/>
          <w:shd w:val="clear" w:fill="ffffff"/>
          <w:lang w:val="en-us"/>
        </w:rPr>
        <w:t>Keywords:</w:t>
      </w:r>
      <w:r>
        <w:rPr>
          <w:rFonts w:ascii="Times New Roman" w:hAnsi="Times New Roman"/>
          <w:b/>
          <w:bCs/>
          <w:color w:val="000000"/>
          <w:sz w:val="24"/>
          <w:szCs w:val="24"/>
          <w:shd w:val="clear" w:fill="ffffff"/>
          <w:lang w:val="en-us"/>
        </w:rPr>
        <w:t xml:space="preserve"> </w:t>
      </w:r>
      <w:r>
        <w:rPr>
          <w:rFonts w:ascii="Times New Roman" w:hAnsi="Times New Roman"/>
          <w:bCs/>
          <w:color w:val="000000"/>
          <w:sz w:val="24"/>
          <w:szCs w:val="24"/>
          <w:shd w:val="clear" w:fill="ffffff"/>
          <w:lang w:val="en-us"/>
        </w:rPr>
        <w:t>teenagers, Internet activity, Internet involvement.</w:t>
      </w:r>
      <w:r>
        <w:rPr>
          <w:rFonts w:ascii="Times New Roman" w:hAnsi="Times New Roman"/>
          <w:color w:val="000000"/>
          <w:sz w:val="24"/>
          <w:szCs w:val="24"/>
          <w:lang w:val="en-us"/>
        </w:rPr>
      </w:r>
    </w:p>
    <w:p>
      <w:pPr>
        <w:ind w:firstLine="284"/>
        <w:spacing w:after="0" w:line="240" w:lineRule="auto"/>
        <w:jc w:val="both"/>
        <w:rPr>
          <w:rFonts w:ascii="Times New Roman" w:hAnsi="Times New Roman"/>
          <w:b/>
          <w:bCs/>
          <w:color w:val="000000"/>
          <w:sz w:val="24"/>
          <w:szCs w:val="24"/>
          <w:shd w:val="clear" w:fill="ffffff"/>
          <w:lang w:val="en-us"/>
        </w:rPr>
      </w:pPr>
      <w:r>
        <w:rPr>
          <w:rFonts w:ascii="Times New Roman" w:hAnsi="Times New Roman"/>
          <w:b/>
          <w:bCs/>
          <w:color w:val="000000"/>
          <w:sz w:val="24"/>
          <w:szCs w:val="24"/>
          <w:shd w:val="clear" w:fill="ffffff"/>
          <w:lang w:val="en-us"/>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b/>
          <w:bCs/>
          <w:color w:val="000000"/>
          <w:sz w:val="24"/>
          <w:szCs w:val="24"/>
          <w:shd w:val="clear" w:fill="ffffff"/>
        </w:rPr>
        <w:t>Благодарности</w:t>
      </w:r>
      <w:r>
        <w:rPr>
          <w:rFonts w:ascii="Times New Roman" w:hAnsi="Times New Roman"/>
          <w:color w:val="000000"/>
          <w:sz w:val="24"/>
          <w:szCs w:val="24"/>
          <w:shd w:val="clear" w:fill="ffffff"/>
        </w:rPr>
        <w:t>. Исследования, описанные в данной работе, были проведены в рамках</w:t>
      </w:r>
      <w:r>
        <w:rPr>
          <w:rFonts w:ascii="Times New Roman" w:hAnsi="Times New Roman"/>
          <w:color w:val="000000"/>
          <w:sz w:val="24"/>
          <w:szCs w:val="24"/>
        </w:rPr>
        <w:t xml:space="preserve"> </w:t>
      </w:r>
      <w:r>
        <w:rPr>
          <w:rFonts w:ascii="Times New Roman" w:hAnsi="Times New Roman"/>
          <w:color w:val="000000"/>
          <w:sz w:val="24"/>
          <w:szCs w:val="24"/>
          <w:shd w:val="clear" w:fill="ffffff"/>
        </w:rPr>
        <w:t>реализации Программы поддержки НИОКР студентов, аспирантов и лиц, имеющих ученую степень, финансируемой Правительством Республики Карелия.</w:t>
      </w: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Влияние Интернета на жизнь современного подростка бесспорно велико, становление современного подростка проходит в цифровой среде, в связи с этим Интернет можно причислить к одному из институтов социализации подростка. Педагоги, психологи, родители пытаются найти ответы на вопросы, вреден ли Интернет, как он влияет на когнитивное развитие, на психическое состояние ребенка, какими онлайн-практиками заняты подростки сегодня, как влияет Интернет на их социальное и личностное развитие, как сами подростки оценивают свою активность в Интернете.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Цель данного исследования — выявление видов деятельности в Интернете, которыми занят современный подросток, и оценка им степени своей вовлеченности в Интернет.</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В исследовании были использованы опросник «Шкала проблемного использования Интернета» (В. И. Колесников, Ю. И. Мельник, Л. И. Теплова), который позволяет понять степень интернет-активности (вовлеченности) подростка в Интернет и структуру вовлеченности [2], и анкета для изучения видов деятельности в Интернете [3].</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В исследовании приняли участие 392 ученика с 6-го по 9-й классы, из них 83 обучаются в школе Кемского городского округа, 52 — в Медвежьегорском городском округе, 43 — в Пряжинском городском округе и 214 респондентов — в Петрозаводском городском округе. Из опрошенных 28 % обучаются в 6-м классе, 18 % — учащиеся 7-го класса, 26 % обучается в 8-м классе и 28 % — в 9-м классе.</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Исследование показало, что большинство участников исследования (96 %) используют Интернет каждый день, от 3 часов и более — 50 %, 6—7 часов в день в Интернете проводят 33 %, 9 и более часов в день 13 %. Лишь 4 % подростков используют Интернет менее часа в день ежедневно. Для описания степени поглощенности практиками в Интернете мы используем классификацию Г. В. Солдатовой [4] и выделяем следующие группы: низкая интернет-активность, средняя, высокая и очень высокая, или гипервключенность (рис. 1).</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spacing w:after="0" w:line="240" w:lineRule="auto"/>
        <w:jc w:val="center"/>
        <w:rPr>
          <w:rFonts w:ascii="Times New Roman" w:hAnsi="Times New Roman"/>
          <w:color w:val="000000"/>
          <w:sz w:val="24"/>
          <w:szCs w:val="24"/>
          <w:shd w:val="clear" w:fill="ffffff"/>
        </w:rPr>
      </w:pPr>
      <w:r/>
      <w:r>
        <w:rPr>
          <w:noProof/>
        </w:rPr>
        <w:drawing>
          <wp:inline distT="89535" distB="89535" distL="89535" distR="89535">
            <wp:extent cx="4885055" cy="2226310"/>
            <wp:effectExtent l="0" t="0" r="0" b="0"/>
            <wp:docPr id="10" name="Изображение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14"/>
                    <pic:cNvPicPr>
                      <a:picLocks noChangeAspect="1"/>
                      <a:codePr string="" type="1" text="0"/>
                      <a:extLst>
                        <a:ext uri="sm">
                          <sm:smNativeData xmlns:sm="sm" val="SMDATA_17_A3dgZ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Q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jAgAAB6EAAAAAAAAAAAAAAQAAAAAAAABDCgAAAQAAAAAAAAB8BQAADR4AALINAAAyAAAAQwoAAHwFAAAoAAAACAAAAAEAAAABAAAAMAAAABQAAAAAAAAAAAD//wAAAQAAAP//AAABAA=="/>
                        </a:ext>
                      </a:extLst>
                    </pic:cNvPicPr>
                  </pic:nvPicPr>
                  <pic:blipFill>
                    <a:blip r:embed="rId22"/>
                    <a:stretch>
                      <a:fillRect/>
                    </a:stretch>
                  </pic:blipFill>
                  <pic:spPr>
                    <a:xfrm>
                      <a:off x="0" y="0"/>
                      <a:ext cx="4885055" cy="2226310"/>
                    </a:xfrm>
                    <a:prstGeom prst="rect">
                      <a:avLst/>
                    </a:prstGeom>
                    <a:noFill/>
                    <a:ln w="12700">
                      <a:noFill/>
                    </a:ln>
                  </pic:spPr>
                </pic:pic>
              </a:graphicData>
            </a:graphic>
          </wp:inline>
        </w:drawing>
      </w:r>
      <w:r/>
      <w:r>
        <w:rPr>
          <w:rFonts w:ascii="Times New Roman" w:hAnsi="Times New Roman"/>
          <w:color w:val="000000"/>
          <w:sz w:val="24"/>
          <w:szCs w:val="24"/>
          <w:shd w:val="clear" w:fill="ffffff"/>
        </w:rPr>
      </w:r>
    </w:p>
    <w:p>
      <w:pPr>
        <w:spacing w:after="0" w:line="240" w:lineRule="auto"/>
        <w:jc w:val="center"/>
        <w:rPr>
          <w:rFonts w:ascii="Times New Roman" w:hAnsi="Times New Roman"/>
          <w:i/>
          <w:color w:val="000000"/>
          <w:sz w:val="24"/>
          <w:szCs w:val="24"/>
          <w:shd w:val="clear" w:fill="ffffff"/>
        </w:rPr>
      </w:pPr>
      <w:r>
        <w:rPr>
          <w:rFonts w:ascii="Times New Roman" w:hAnsi="Times New Roman"/>
          <w:i/>
          <w:color w:val="000000"/>
          <w:sz w:val="24"/>
          <w:szCs w:val="24"/>
          <w:shd w:val="clear" w:fill="ffffff"/>
        </w:rPr>
      </w:r>
    </w:p>
    <w:p>
      <w:pPr>
        <w:spacing w:after="0" w:line="240" w:lineRule="auto"/>
        <w:jc w:val="center"/>
        <w:rPr>
          <w:rFonts w:ascii="Times New Roman" w:hAnsi="Times New Roman"/>
          <w:i/>
          <w:color w:val="000000"/>
          <w:sz w:val="24"/>
          <w:szCs w:val="24"/>
          <w:shd w:val="clear" w:fill="ffffff"/>
        </w:rPr>
      </w:pPr>
      <w:r>
        <w:rPr>
          <w:rFonts w:ascii="Times New Roman" w:hAnsi="Times New Roman"/>
          <w:i/>
          <w:color w:val="000000"/>
          <w:sz w:val="24"/>
          <w:szCs w:val="24"/>
          <w:shd w:val="clear" w:fill="ffffff"/>
        </w:rPr>
        <w:t xml:space="preserve">Рис. 1. </w:t>
      </w:r>
      <w:r>
        <w:rPr>
          <w:rFonts w:ascii="Times New Roman" w:hAnsi="Times New Roman"/>
          <w:color w:val="000000"/>
          <w:sz w:val="24"/>
          <w:szCs w:val="24"/>
          <w:shd w:val="clear" w:fill="ffffff"/>
        </w:rPr>
        <w:t>Типы пользовательской интернет-активности учащихся 6—9-х классов</w:t>
        <w:br w:type="textWrapping"/>
        <w:t>(по количеству часов, проведенных в Интернете)</w:t>
      </w:r>
      <w:r>
        <w:rPr>
          <w:rFonts w:ascii="Times New Roman" w:hAnsi="Times New Roman"/>
          <w:i/>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 xml:space="preserve">В группу с высокой интернет-активностью преимущественно входят учащиеся 8-х и 9-х классов, в группу с гипервключенностью — восьмиклассники (табл. 1).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Таблица 1</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Высокая и очень высокая пользовательская активность по классам (в %)</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r>
    </w:p>
    <w:tbl>
      <w:tblPr>
        <w:tblStyle w:val="TableNormal"/>
        <w:name w:val="Таблица12"/>
        <w:tabOrder w:val="0"/>
        <w:jc w:val="center"/>
        <w:tblInd w:w="0" w:type="dxa"/>
        <w:tblW w:w="9639" w:type="dxa"/>
        <w:pPr>
          <w:spacing w:after="0" w:line="240" w:lineRule="auto"/>
          <w:jc w:val="center"/>
          <w:suppressAutoHyphens/>
          <w:hyphenationLines w:val="0"/>
          <w:widowControl w:val="0"/>
        </w:pPr>
        <w:tblLook w:val="04A0" w:firstRow="1" w:lastRow="0" w:firstColumn="1" w:lastColumn="0" w:noHBand="0" w:noVBand="1"/>
      </w:tblPr>
      <w:tblGrid>
        <w:gridCol w:w="1205"/>
        <w:gridCol w:w="1204"/>
        <w:gridCol w:w="1205"/>
        <w:gridCol w:w="1205"/>
        <w:gridCol w:w="1205"/>
        <w:gridCol w:w="1205"/>
        <w:gridCol w:w="1205"/>
        <w:gridCol w:w="1205"/>
      </w:tblGrid>
      <w:tr>
        <w:trPr>
          <w:tblHeader w:val="0"/>
          <w:trKeepWithNext w:val="0"/>
          <w:trBreak w:val="0"/>
          <w:cantSplit w:val="0"/>
          <w:trHeight w:val="0" w:hRule="auto"/>
        </w:trPr>
        <w:tc>
          <w:tcPr>
            <w:tcW w:w="4819"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Высокая активность</w:t>
            </w:r>
          </w:p>
        </w:tc>
        <w:tc>
          <w:tcPr>
            <w:tcW w:w="4820"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Очень высокая активность</w:t>
            </w:r>
          </w:p>
        </w:tc>
      </w:tr>
      <w:tr>
        <w:trPr>
          <w:tblHeader w:val="0"/>
          <w:trKeepWithNext w:val="0"/>
          <w:trBreak w:val="0"/>
          <w:cantSplit w:val="0"/>
          <w:trHeight w:val="0" w:hRule="auto"/>
        </w:trPr>
        <w:tc>
          <w:tcPr>
            <w:tcW w:w="4819"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33 % от всех участников исследования</w:t>
            </w:r>
          </w:p>
        </w:tc>
        <w:tc>
          <w:tcPr>
            <w:tcW w:w="4820"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13 % от всех участников исследования</w:t>
            </w:r>
          </w:p>
        </w:tc>
      </w:tr>
      <w:tr>
        <w:trPr>
          <w:tblHeader w:val="0"/>
          <w:trKeepWithNext w:val="0"/>
          <w:trBreak w:val="0"/>
          <w:cantSplit w:val="0"/>
          <w:trHeight w:val="0" w:hRule="auto"/>
        </w:trPr>
        <w:tc>
          <w:tcPr>
            <w:tcW w:w="4819"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классы</w:t>
            </w:r>
          </w:p>
        </w:tc>
        <w:tc>
          <w:tcPr>
            <w:tcW w:w="4820"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классы</w:t>
            </w:r>
          </w:p>
        </w:tc>
      </w:tr>
      <w:tr>
        <w:trPr>
          <w:tblHeader w:val="0"/>
          <w:trKeepWithNext w:val="0"/>
          <w:trBreak w:val="0"/>
          <w:cantSplit w:val="0"/>
          <w:trHeight w:val="0" w:hRule="auto"/>
        </w:trPr>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 класс</w:t>
            </w:r>
          </w:p>
        </w:tc>
        <w:tc>
          <w:tcPr>
            <w:tcW w:w="120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 класс</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8 класс</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 класс</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 класс</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 класс</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8 класс</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 класс</w:t>
            </w:r>
          </w:p>
        </w:tc>
      </w:tr>
      <w:tr>
        <w:trPr>
          <w:tblHeader w:val="0"/>
          <w:trKeepWithNext w:val="0"/>
          <w:trBreak w:val="0"/>
          <w:cantSplit w:val="0"/>
          <w:trHeight w:val="0" w:hRule="auto"/>
        </w:trPr>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27</w:t>
            </w:r>
          </w:p>
        </w:tc>
        <w:tc>
          <w:tcPr>
            <w:tcW w:w="120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17</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28</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28</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11</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21</w:t>
            </w:r>
          </w:p>
        </w:tc>
        <w:tc>
          <w:tcPr>
            <w:tcW w:w="1205"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w:t>
            </w:r>
          </w:p>
        </w:tc>
      </w:tr>
    </w:tbl>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В нашем исследовании выявлено, что подростки из городов Петрозаводска и Кеми в целом проводят больше времени в сутки в Интернете, чем учащиеся из Медвежьегорска и Пряжи (табл. 2).</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p>
      <w:pPr>
        <w:ind w:firstLine="284"/>
        <w:spacing w:after="0" w:line="240" w:lineRule="auto"/>
        <w:jc w:val="right"/>
        <w:rPr>
          <w:rFonts w:ascii="Times New Roman" w:hAnsi="Times New Roman"/>
          <w:i/>
          <w:color w:val="000000"/>
          <w:sz w:val="24"/>
          <w:szCs w:val="24"/>
        </w:rPr>
      </w:pPr>
      <w:r>
        <w:rPr>
          <w:rFonts w:ascii="Times New Roman" w:hAnsi="Times New Roman"/>
          <w:i/>
          <w:color w:val="000000"/>
          <w:sz w:val="24"/>
          <w:szCs w:val="24"/>
        </w:rPr>
        <w:t>Таблица 2</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Высокая и очень высокая пользовательская активность по городам (в %)</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r>
    </w:p>
    <w:tbl>
      <w:tblPr>
        <w:tblStyle w:val="TableNormal"/>
        <w:name w:val="Таблица13"/>
        <w:tabOrder w:val="0"/>
        <w:jc w:val="center"/>
        <w:tblInd w:w="0" w:type="dxa"/>
        <w:tblW w:w="9639" w:type="dxa"/>
        <w:pPr>
          <w:spacing w:after="0" w:line="240" w:lineRule="auto"/>
          <w:jc w:val="center"/>
          <w:suppressAutoHyphens/>
          <w:hyphenationLines w:val="0"/>
          <w:widowControl w:val="0"/>
        </w:pPr>
        <w:tblLook w:val="01E0" w:firstRow="1" w:lastRow="1" w:firstColumn="1" w:lastColumn="1" w:noHBand="0" w:noVBand="0"/>
      </w:tblPr>
      <w:tblGrid>
        <w:gridCol w:w="3212"/>
        <w:gridCol w:w="2976"/>
        <w:gridCol w:w="3451"/>
      </w:tblGrid>
      <w:tr>
        <w:trPr>
          <w:tblHeader w:val="0"/>
          <w:trKeepWithNext w:val="0"/>
          <w:trBreak w:val="0"/>
          <w:cantSplit w:val="0"/>
          <w:trHeight w:val="0" w:hRule="auto"/>
        </w:trPr>
        <w:tc>
          <w:tcPr>
            <w:tcW w:w="321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Город</w:t>
            </w:r>
          </w:p>
        </w:tc>
        <w:tc>
          <w:tcPr>
            <w:tcW w:w="297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Высокая</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активность</w:t>
            </w:r>
          </w:p>
        </w:tc>
        <w:tc>
          <w:tcPr>
            <w:tcW w:w="3451"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Очень высокая</w:t>
            </w:r>
          </w:p>
          <w:p>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активность</w:t>
            </w:r>
          </w:p>
        </w:tc>
      </w:tr>
      <w:tr>
        <w:trPr>
          <w:tblHeader w:val="0"/>
          <w:trKeepWithNext w:val="0"/>
          <w:trBreak w:val="0"/>
          <w:cantSplit w:val="0"/>
          <w:trHeight w:val="0" w:hRule="auto"/>
        </w:trPr>
        <w:tc>
          <w:tcPr>
            <w:tcW w:w="321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Петрозаводск</w:t>
            </w:r>
          </w:p>
        </w:tc>
        <w:tc>
          <w:tcPr>
            <w:tcW w:w="297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51</w:t>
            </w:r>
          </w:p>
        </w:tc>
        <w:tc>
          <w:tcPr>
            <w:tcW w:w="3451"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32</w:t>
            </w:r>
          </w:p>
        </w:tc>
      </w:tr>
      <w:tr>
        <w:trPr>
          <w:tblHeader w:val="0"/>
          <w:trKeepWithNext w:val="0"/>
          <w:trBreak w:val="0"/>
          <w:cantSplit w:val="0"/>
          <w:trHeight w:val="0" w:hRule="auto"/>
        </w:trPr>
        <w:tc>
          <w:tcPr>
            <w:tcW w:w="321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Кемь</w:t>
            </w:r>
          </w:p>
        </w:tc>
        <w:tc>
          <w:tcPr>
            <w:tcW w:w="297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27</w:t>
            </w:r>
          </w:p>
        </w:tc>
        <w:tc>
          <w:tcPr>
            <w:tcW w:w="3451"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36</w:t>
            </w:r>
          </w:p>
        </w:tc>
      </w:tr>
      <w:tr>
        <w:trPr>
          <w:tblHeader w:val="0"/>
          <w:trKeepWithNext w:val="0"/>
          <w:trBreak w:val="0"/>
          <w:cantSplit w:val="0"/>
          <w:trHeight w:val="0" w:hRule="auto"/>
        </w:trPr>
        <w:tc>
          <w:tcPr>
            <w:tcW w:w="321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Медвежьегорск</w:t>
            </w:r>
          </w:p>
        </w:tc>
        <w:tc>
          <w:tcPr>
            <w:tcW w:w="297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18</w:t>
            </w:r>
          </w:p>
        </w:tc>
        <w:tc>
          <w:tcPr>
            <w:tcW w:w="3451"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15</w:t>
            </w:r>
          </w:p>
        </w:tc>
      </w:tr>
      <w:tr>
        <w:trPr>
          <w:tblHeader w:val="0"/>
          <w:trKeepWithNext w:val="0"/>
          <w:trBreak w:val="0"/>
          <w:cantSplit w:val="0"/>
          <w:trHeight w:val="0" w:hRule="auto"/>
        </w:trPr>
        <w:tc>
          <w:tcPr>
            <w:tcW w:w="3212"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color w:val="000000"/>
                <w:sz w:val="24"/>
                <w:szCs w:val="24"/>
              </w:rPr>
            </w:pPr>
            <w:r>
              <w:rPr>
                <w:rFonts w:ascii="Times New Roman" w:hAnsi="Times New Roman"/>
                <w:color w:val="000000"/>
                <w:sz w:val="24"/>
                <w:szCs w:val="24"/>
              </w:rPr>
              <w:t>Пряжа</w:t>
            </w:r>
          </w:p>
        </w:tc>
        <w:tc>
          <w:tcPr>
            <w:tcW w:w="297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4</w:t>
            </w:r>
          </w:p>
        </w:tc>
        <w:tc>
          <w:tcPr>
            <w:tcW w:w="3451"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17</w:t>
            </w:r>
          </w:p>
        </w:tc>
      </w:tr>
    </w:tbl>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Какие виды деятельности в Интернете подростки предпочитают? Самыми популярными видами деятельности среди опрошенных нами подростков являются общение в социальных сетях, прослушивание музыки и онлайн-игры (рис. 2).</w:t>
      </w:r>
    </w:p>
    <w:p>
      <w:pPr>
        <w:spacing w:after="0" w:line="240" w:lineRule="auto"/>
        <w:jc w:val="center"/>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spacing w:after="0" w:line="240" w:lineRule="auto"/>
        <w:jc w:val="center"/>
        <w:rPr>
          <w:rFonts w:ascii="Times New Roman" w:hAnsi="Times New Roman"/>
          <w:i/>
          <w:color w:val="000000"/>
          <w:sz w:val="24"/>
          <w:szCs w:val="24"/>
          <w:shd w:val="clear" w:fill="ffffff"/>
        </w:rPr>
      </w:pPr>
      <w:r/>
      <w:r>
        <w:rPr>
          <w:noProof/>
        </w:rPr>
        <w:drawing>
          <wp:inline distT="89535" distB="89535" distL="89535" distR="89535">
            <wp:extent cx="5777865" cy="3167380"/>
            <wp:effectExtent l="0" t="0" r="0" b="0"/>
            <wp:docPr id="11" name="Изображение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12"/>
                    <pic:cNvPicPr>
                      <a:picLocks noChangeAspect="1"/>
                      <a:codePr string="" type="0" text="0"/>
                      <a:extLst>
                        <a:ext uri="sm">
                          <sm:smNativeData xmlns:sm="sm" val="SMDATA_17_A3dgZ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IsjAAB8EwAAiyMAAHwT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3AgAAB6IAAAAAAAAAAAAAAQAAAAAAAAD7BQAAAQAAAAAAAACEGQAAiyMAAHwTAAAzAAAA+wUAAIQZAAAoAAAACAAAAAEAAAABAAAAMAAAABQAAAAAAAAAAAD//wAAAQAAAP//AAABAA=="/>
                        </a:ext>
                      </a:extLst>
                    </pic:cNvPicPr>
                  </pic:nvPicPr>
                  <pic:blipFill>
                    <a:blip r:embed="rId23"/>
                    <a:stretch>
                      <a:fillRect/>
                    </a:stretch>
                  </pic:blipFill>
                  <pic:spPr>
                    <a:xfrm>
                      <a:off x="0" y="0"/>
                      <a:ext cx="5777865" cy="3167380"/>
                    </a:xfrm>
                    <a:prstGeom prst="rect">
                      <a:avLst/>
                    </a:prstGeom>
                    <a:noFill/>
                    <a:ln w="12700">
                      <a:noFill/>
                    </a:ln>
                  </pic:spPr>
                </pic:pic>
              </a:graphicData>
            </a:graphic>
          </wp:inline>
        </w:drawing>
      </w:r>
      <w:r/>
      <w:r>
        <w:rPr>
          <w:rFonts w:ascii="Times New Roman" w:hAnsi="Times New Roman"/>
          <w:i/>
          <w:color w:val="000000"/>
          <w:sz w:val="24"/>
          <w:szCs w:val="24"/>
          <w:shd w:val="clear" w:fill="ffffff"/>
        </w:rPr>
      </w:r>
    </w:p>
    <w:p>
      <w:pPr>
        <w:spacing w:after="0" w:line="240" w:lineRule="auto"/>
        <w:jc w:val="center"/>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spacing w:after="0" w:line="240" w:lineRule="auto"/>
        <w:jc w:val="center"/>
        <w:rPr>
          <w:rFonts w:ascii="Times New Roman" w:hAnsi="Times New Roman"/>
          <w:color w:val="000000"/>
          <w:sz w:val="24"/>
          <w:szCs w:val="24"/>
          <w:shd w:val="clear" w:fill="ffffff"/>
        </w:rPr>
      </w:pPr>
      <w:r>
        <w:rPr>
          <w:rFonts w:ascii="Times New Roman" w:hAnsi="Times New Roman"/>
          <w:i/>
          <w:color w:val="000000"/>
          <w:sz w:val="24"/>
          <w:szCs w:val="24"/>
          <w:shd w:val="clear" w:fill="ffffff"/>
        </w:rPr>
        <w:t xml:space="preserve">Рис. 2. </w:t>
      </w:r>
      <w:r>
        <w:rPr>
          <w:rFonts w:ascii="Times New Roman" w:hAnsi="Times New Roman"/>
          <w:color w:val="000000"/>
          <w:sz w:val="24"/>
          <w:szCs w:val="24"/>
          <w:shd w:val="clear" w:fill="ffffff"/>
        </w:rPr>
        <w:t>Виды цифровой активности (2 часа и более каждый день, % от числа опрошенных)</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Так, было обнаружено, что больше всего подростки используют Интернет для общения в социальных сетях (43 %) и прослушивания музыки (42 %), выделяя для этого несколько часов ежедневно. При этом восьмиклассники чаще других отдают данным видам активности свое предпочтение. Также около трети подростков (32 %) ежедневно несколько часов используют Интернет для онлайн-игр, среди которых наибольший процент обнаружен среди шестиклассников. Примерно пятая часть опрошенных подростков (21 %) несколько часов в день занимается поиском информации в соответствии со своими интересами. Таким образом, чаще всего в личных целях подростки используют Интернет для общения в социальных сетях, что соотносится с ведущей для данного возраста деятельностью — интимно-личностным общением.</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 xml:space="preserve">Опрошенные подростки реже всего используют такие интернет-сервисы, как онлайн-магазины (2 %), электронная почта (5 %), а также такой вид активности в Интернете как поиск друзей (7 %). Достаточно редко подростки используют Интернет для чтения книг, поскольку больше четверти (28 %) опрошенных подростков никогда не пользуются данным видом активности в Интернете. </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Для учебы примерно половина подростков (51 %) пользуются Интернетом менее часа в день, 6 % в этих целях не используют его вовсе, более трети подростков (37 %) для выполнения домашних заданий и подготовки к занятиям выделяют 2—3 часа времени в Интернете, 8 % — 4—5 часов и более. Процентное соотношение по возрастно-образовательной группе и времени использования Интернета в учебных целях представлено в таблице 3.</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ind w:firstLine="284"/>
        <w:spacing w:after="0" w:line="240" w:lineRule="auto"/>
        <w:jc w:val="right"/>
        <w:rPr>
          <w:rFonts w:ascii="Times New Roman" w:hAnsi="Times New Roman"/>
          <w:i/>
          <w:color w:val="000000"/>
          <w:sz w:val="24"/>
          <w:szCs w:val="24"/>
          <w:shd w:val="clear" w:fill="ffffff"/>
        </w:rPr>
      </w:pPr>
      <w:r>
        <w:rPr>
          <w:rFonts w:ascii="Times New Roman" w:hAnsi="Times New Roman"/>
          <w:i/>
          <w:color w:val="000000"/>
          <w:sz w:val="24"/>
          <w:szCs w:val="24"/>
          <w:shd w:val="clear" w:fill="ffffff"/>
        </w:rPr>
        <w:t>Таблица 3</w:t>
      </w:r>
    </w:p>
    <w:p>
      <w:pPr>
        <w:spacing w:after="0" w:line="240" w:lineRule="auto"/>
        <w:jc w:val="center"/>
        <w:rPr>
          <w:rFonts w:ascii="Times New Roman" w:hAnsi="Times New Roman"/>
          <w:b/>
          <w:color w:val="000000"/>
          <w:sz w:val="24"/>
          <w:szCs w:val="24"/>
          <w:shd w:val="clear" w:fill="ffffff"/>
        </w:rPr>
      </w:pPr>
      <w:r>
        <w:rPr>
          <w:rFonts w:ascii="Times New Roman" w:hAnsi="Times New Roman"/>
          <w:b/>
          <w:color w:val="000000"/>
          <w:sz w:val="24"/>
          <w:szCs w:val="24"/>
          <w:shd w:val="clear" w:fill="ffffff"/>
        </w:rPr>
        <w:t>Использование Интернета в учебных целях</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tbl>
      <w:tblPr>
        <w:tblStyle w:val="TableNormal"/>
        <w:name w:val="Таблица14"/>
        <w:tabOrder w:val="0"/>
        <w:jc w:val="center"/>
        <w:tblInd w:w="0" w:type="dxa"/>
        <w:tblW w:w="9639" w:type="dxa"/>
        <w:pPr>
          <w:spacing w:after="0" w:line="240" w:lineRule="auto"/>
          <w:jc w:val="center"/>
          <w:suppressAutoHyphens/>
          <w:hyphenationLines w:val="0"/>
          <w:widowControl w:val="0"/>
        </w:pPr>
        <w:tblLook w:val="00A0" w:firstRow="1" w:lastRow="0" w:firstColumn="1" w:lastColumn="0" w:noHBand="0" w:noVBand="0"/>
      </w:tblPr>
      <w:tblGrid>
        <w:gridCol w:w="2152"/>
        <w:gridCol w:w="1083"/>
        <w:gridCol w:w="1082"/>
        <w:gridCol w:w="1156"/>
        <w:gridCol w:w="1029"/>
        <w:gridCol w:w="1332"/>
        <w:gridCol w:w="1805"/>
      </w:tblGrid>
      <w:tr>
        <w:trPr>
          <w:tblHeader w:val="0"/>
          <w:trKeepWithNext w:val="0"/>
          <w:trBreak w:val="0"/>
          <w:cantSplit w:val="0"/>
          <w:trHeight w:val="264" w:hRule="atLeast"/>
        </w:trPr>
        <w:tc>
          <w:tcPr>
            <w:tcW w:w="215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Учащиеся, %</w:t>
            </w:r>
          </w:p>
        </w:tc>
        <w:tc>
          <w:tcPr>
            <w:tcW w:w="1083"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До </w:t>
              <w:br w:type="textWrapping"/>
              <w:t>1 часа</w:t>
            </w:r>
          </w:p>
        </w:tc>
        <w:tc>
          <w:tcPr>
            <w:tcW w:w="108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2—3</w:t>
            </w:r>
          </w:p>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часа</w:t>
            </w:r>
          </w:p>
        </w:tc>
        <w:tc>
          <w:tcPr>
            <w:tcW w:w="115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4—5</w:t>
            </w:r>
          </w:p>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часов</w:t>
            </w:r>
          </w:p>
        </w:tc>
        <w:tc>
          <w:tcPr>
            <w:tcW w:w="102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6—7</w:t>
            </w:r>
          </w:p>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часов</w:t>
            </w:r>
          </w:p>
        </w:tc>
        <w:tc>
          <w:tcPr>
            <w:tcW w:w="13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8 и более часов</w:t>
            </w:r>
          </w:p>
        </w:tc>
        <w:tc>
          <w:tcPr>
            <w:tcW w:w="18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Не использую</w:t>
            </w:r>
          </w:p>
        </w:tc>
      </w:tr>
      <w:tr>
        <w:trPr>
          <w:tblHeader w:val="0"/>
          <w:trKeepWithNext w:val="0"/>
          <w:trBreak w:val="0"/>
          <w:cantSplit w:val="0"/>
          <w:trHeight w:val="264" w:hRule="atLeast"/>
        </w:trPr>
        <w:tc>
          <w:tcPr>
            <w:tcW w:w="215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Шестиклассники</w:t>
            </w:r>
          </w:p>
        </w:tc>
        <w:tc>
          <w:tcPr>
            <w:tcW w:w="1083"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66</w:t>
            </w:r>
          </w:p>
        </w:tc>
        <w:tc>
          <w:tcPr>
            <w:tcW w:w="108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26</w:t>
            </w:r>
          </w:p>
        </w:tc>
        <w:tc>
          <w:tcPr>
            <w:tcW w:w="115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p>
        </w:tc>
        <w:tc>
          <w:tcPr>
            <w:tcW w:w="102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13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18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6</w:t>
            </w:r>
          </w:p>
        </w:tc>
      </w:tr>
      <w:tr>
        <w:trPr>
          <w:tblHeader w:val="0"/>
          <w:trKeepWithNext w:val="0"/>
          <w:trBreak w:val="0"/>
          <w:cantSplit w:val="0"/>
          <w:trHeight w:val="264" w:hRule="atLeast"/>
        </w:trPr>
        <w:tc>
          <w:tcPr>
            <w:tcW w:w="215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Семиклассники</w:t>
            </w:r>
          </w:p>
        </w:tc>
        <w:tc>
          <w:tcPr>
            <w:tcW w:w="1083"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53</w:t>
            </w:r>
          </w:p>
        </w:tc>
        <w:tc>
          <w:tcPr>
            <w:tcW w:w="108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36</w:t>
            </w:r>
          </w:p>
        </w:tc>
        <w:tc>
          <w:tcPr>
            <w:tcW w:w="115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p>
        </w:tc>
        <w:tc>
          <w:tcPr>
            <w:tcW w:w="102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13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18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9</w:t>
            </w:r>
          </w:p>
        </w:tc>
      </w:tr>
      <w:tr>
        <w:trPr>
          <w:tblHeader w:val="0"/>
          <w:trKeepWithNext w:val="0"/>
          <w:trBreak w:val="0"/>
          <w:cantSplit w:val="0"/>
          <w:trHeight w:val="264" w:hRule="atLeast"/>
        </w:trPr>
        <w:tc>
          <w:tcPr>
            <w:tcW w:w="215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Восьмиклассники</w:t>
            </w:r>
          </w:p>
        </w:tc>
        <w:tc>
          <w:tcPr>
            <w:tcW w:w="1083"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47</w:t>
            </w:r>
          </w:p>
        </w:tc>
        <w:tc>
          <w:tcPr>
            <w:tcW w:w="108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38</w:t>
            </w:r>
          </w:p>
        </w:tc>
        <w:tc>
          <w:tcPr>
            <w:tcW w:w="115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9</w:t>
            </w:r>
          </w:p>
        </w:tc>
        <w:tc>
          <w:tcPr>
            <w:tcW w:w="102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13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c>
          <w:tcPr>
            <w:tcW w:w="18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5</w:t>
            </w:r>
          </w:p>
        </w:tc>
      </w:tr>
      <w:tr>
        <w:trPr>
          <w:tblHeader w:val="0"/>
          <w:trKeepWithNext w:val="0"/>
          <w:trBreak w:val="0"/>
          <w:cantSplit w:val="0"/>
          <w:trHeight w:val="264" w:hRule="atLeast"/>
        </w:trPr>
        <w:tc>
          <w:tcPr>
            <w:tcW w:w="215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Девятиклассники</w:t>
            </w:r>
          </w:p>
        </w:tc>
        <w:tc>
          <w:tcPr>
            <w:tcW w:w="1083"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37</w:t>
            </w:r>
          </w:p>
        </w:tc>
        <w:tc>
          <w:tcPr>
            <w:tcW w:w="108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48</w:t>
            </w:r>
          </w:p>
        </w:tc>
        <w:tc>
          <w:tcPr>
            <w:tcW w:w="115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7</w:t>
            </w:r>
          </w:p>
        </w:tc>
        <w:tc>
          <w:tcPr>
            <w:tcW w:w="102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p>
        </w:tc>
        <w:tc>
          <w:tcPr>
            <w:tcW w:w="1332"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c>
          <w:tcPr>
            <w:tcW w:w="1805"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00820739" protected="0"/>
          </w:tcPr>
          <w:p>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5</w:t>
            </w:r>
          </w:p>
        </w:tc>
      </w:tr>
    </w:tbl>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Обобщая обсуждаемые данные, можно сделать следующие выводы: наименьшее количество времени в Интернете на домашнюю работу тратят шестиклассники, поскольку большинство (66 %) выделяют этому менее часа ежедневно. Наибольшее же время использования Интернета для учебы у девятиклассников, поскольку примерно половина из них (48 %) выделяют на занятия учебной деятельностью около 2—3 часов ежедневно. В целом прослеживается увеличение отведенного учебе времени в Интернете по мере взросления, что можно связать с усложнением учебного материала, поиском своего дальнейшего профессионального пути и подготовкой к экзаменам. Так, старшие подростки проявляют большую активность в Интернете вообще, в то же время уделяют значительную часть времени в Интернете учебе по сравнению с младшими подростками.</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Как распределяются предпочтения по классам, уверенно можем говорить только об учениках г. Петрозаводска, так как в исследовании в г. Кемь не принимали участие ученики 7-х и 9-х классов, в Медвежьегорске — ученики 6-х и 8-х классов, а в Пряже 7-х и 8-х классов. Подростки г. Петрозаводска в равной степени находятся в Интернете, чтобы слушать музыку (44 %) и общаться (43 %), на общение больше времени тратят 9-е классы (52 %), на прослушивание музыки 8-е классы (60 %). </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Перейдем к рассмотрению исследования проблемного использования подростками Интернета, результаты представлены на рисунке 3.</w:t>
      </w:r>
    </w:p>
    <w:p>
      <w:pPr>
        <w:ind w:firstLine="284"/>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r>
    </w:p>
    <w:p>
      <w:pPr>
        <w:spacing w:after="0" w:line="240" w:lineRule="auto"/>
        <w:jc w:val="center"/>
        <w:rPr>
          <w:rFonts w:ascii="Times New Roman" w:hAnsi="Times New Roman"/>
          <w:color w:val="000000"/>
          <w:sz w:val="24"/>
          <w:szCs w:val="24"/>
          <w:shd w:val="clear" w:fill="ffffff"/>
        </w:rPr>
      </w:pPr>
      <w:r/>
      <w:r>
        <w:rPr>
          <w:noProof/>
        </w:rPr>
        <w:drawing>
          <wp:inline distT="89535" distB="89535" distL="89535" distR="89535">
            <wp:extent cx="5160645" cy="3726815"/>
            <wp:effectExtent l="0" t="0" r="0" b="0"/>
            <wp:docPr id="12" name="Изображение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13"/>
                    <pic:cNvPicPr>
                      <a:picLocks noChangeAspect="1"/>
                      <a:codePr string="" type="88424448" text="1"/>
                      <a:extLst>
                        <a:ext uri="sm">
                          <sm:smNativeData xmlns:sm="sm" val="SMDATA_17_A3dgZ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L8fAADtFgAAvx8AAO0WAAAAAQ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IAwAAB6EAAAAAAAAAAAAAAQAAAAAAAACvBgAAAQAAAAAAAAAOFgAAvx8AAO0WAAA0AAAArwYAAA4WAAAoAAAACAAAAAEAAAABAAAAMAAAABQAAAAAAAAAAAD//wAAAQAAAP//AAABAA=="/>
                        </a:ext>
                      </a:extLst>
                    </pic:cNvPicPr>
                  </pic:nvPicPr>
                  <pic:blipFill>
                    <a:blip r:embed="rId24"/>
                    <a:stretch>
                      <a:fillRect/>
                    </a:stretch>
                  </pic:blipFill>
                  <pic:spPr>
                    <a:xfrm>
                      <a:off x="0" y="0"/>
                      <a:ext cx="5160645" cy="3726815"/>
                    </a:xfrm>
                    <a:prstGeom prst="rect">
                      <a:avLst/>
                    </a:prstGeom>
                    <a:noFill/>
                    <a:ln w="12700">
                      <a:noFill/>
                    </a:ln>
                  </pic:spPr>
                </pic:pic>
              </a:graphicData>
            </a:graphic>
          </wp:inline>
        </w:drawing>
      </w:r>
      <w:r/>
      <w:r>
        <w:rPr>
          <w:rFonts w:ascii="Times New Roman" w:hAnsi="Times New Roman"/>
          <w:color w:val="000000"/>
          <w:sz w:val="24"/>
          <w:szCs w:val="24"/>
          <w:shd w:val="clear" w:fill="ffffff"/>
        </w:rPr>
      </w:r>
    </w:p>
    <w:p>
      <w:pPr>
        <w:spacing w:after="0" w:line="240" w:lineRule="auto"/>
        <w:jc w:val="center"/>
        <w:rPr>
          <w:rFonts w:ascii="Times New Roman" w:hAnsi="Times New Roman"/>
          <w:i/>
          <w:color w:val="000000"/>
          <w:sz w:val="24"/>
          <w:szCs w:val="24"/>
          <w:shd w:val="clear" w:fill="ffffff"/>
        </w:rPr>
      </w:pPr>
      <w:r>
        <w:rPr>
          <w:rFonts w:ascii="Times New Roman" w:hAnsi="Times New Roman"/>
          <w:i/>
          <w:color w:val="000000"/>
          <w:sz w:val="24"/>
          <w:szCs w:val="24"/>
          <w:shd w:val="clear" w:fill="ffffff"/>
        </w:rPr>
      </w:r>
    </w:p>
    <w:p>
      <w:pPr>
        <w:spacing w:after="0" w:line="240" w:lineRule="auto"/>
        <w:jc w:val="center"/>
        <w:rPr>
          <w:rFonts w:ascii="Times New Roman" w:hAnsi="Times New Roman"/>
          <w:color w:val="000000"/>
          <w:sz w:val="24"/>
          <w:szCs w:val="24"/>
          <w:shd w:val="clear" w:fill="ffffff"/>
        </w:rPr>
      </w:pPr>
      <w:r>
        <w:rPr>
          <w:rFonts w:ascii="Times New Roman" w:hAnsi="Times New Roman"/>
          <w:i/>
          <w:color w:val="000000"/>
          <w:sz w:val="24"/>
          <w:szCs w:val="24"/>
          <w:shd w:val="clear" w:fill="ffffff"/>
        </w:rPr>
        <w:t xml:space="preserve">Рис. 3. </w:t>
      </w:r>
      <w:r>
        <w:rPr>
          <w:rFonts w:ascii="Times New Roman" w:hAnsi="Times New Roman"/>
          <w:color w:val="000000"/>
          <w:sz w:val="24"/>
          <w:szCs w:val="24"/>
          <w:shd w:val="clear" w:fill="ffffff"/>
        </w:rPr>
        <w:t>Соотношение подростков разных возрастов по степени интернет-активности (%)</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 xml:space="preserve">Большинство подростков (76 %) оценивают свое использование Интернета как соответствующее границам нормы. В группу риска входит примерно пятая часть опрошенных подростков (19 %), из которых наибольший процент среди восьмиклассников (32 %). Проблемное использование Интернета выявлено у 4 % подростков, среди которых наибольший процент у шестиклассников (7 %). </w:t>
      </w:r>
    </w:p>
    <w:p>
      <w:pPr>
        <w:ind w:firstLine="284"/>
        <w:spacing w:after="0" w:line="240" w:lineRule="auto"/>
        <w:jc w:val="both"/>
        <w:rPr>
          <w:rFonts w:ascii="Times New Roman" w:hAnsi="Times New Roman"/>
          <w:color w:val="000000"/>
          <w:sz w:val="24"/>
          <w:szCs w:val="24"/>
          <w:shd w:val="clear" w:fill="ffffff"/>
        </w:rPr>
      </w:pPr>
      <w:r>
        <w:rPr>
          <w:rFonts w:ascii="Times New Roman" w:hAnsi="Times New Roman"/>
          <w:color w:val="000000"/>
          <w:sz w:val="24"/>
          <w:szCs w:val="24"/>
          <w:shd w:val="clear" w:fill="ffffff"/>
        </w:rPr>
        <w:t xml:space="preserve">Так, более половины (55 %) опрошенных большую часть свободного от учебы времени проводят в Интернете. Почти у половины (45 %) подростков улучшается настроение, когда они входят в Интернет, 43 % подростков любят проводить время в Интернете ночью, когда никто не отвлекает. Почти половина опрошенных (43 %) убеждены, что окружающие преувеличивают негативное воздействие Интернета на них, чаще это отмечают семиклассники. Когда долго не входят в Интернет, то испытывают скуку 39 % респондентов, наибольший процент среди шестиклассников, примерно столько же (37 %) чувствуют себя более уверенными, находясь в Интернете, чаще это отмечают шестиклассники и восьмиклассники. Более трети опрошенных подростков (39 %) торопятся скорее сделать работу по учебе, чтобы быстрее войти в Сеть, наибольший процент среди этой группы — у девятиклассников (40 %). Почти треть опрошенных подростков (30 %) злится, если кто-то указывает на то, что они много времени проводят в Интернете. Около четверти (24 %) опрошенных считают виртуальную жизнь интереснее реальной, и большинство подростков (58 %) убеждены, что их физическое здоровье не страдает оттого, что они проводят много времени в Интернете. </w:t>
      </w:r>
    </w:p>
    <w:p>
      <w:pPr>
        <w:ind w:firstLine="284"/>
        <w:spacing w:after="0" w:line="240" w:lineRule="auto"/>
        <w:jc w:val="both"/>
        <w:tabs defTabSz="708">
          <w:tab w:val="left" w:pos="3867" w:leader="none"/>
        </w:tabs>
        <w:rPr>
          <w:rFonts w:ascii="Times New Roman" w:hAnsi="Times New Roman"/>
          <w:color w:val="000000"/>
          <w:sz w:val="24"/>
          <w:szCs w:val="24"/>
        </w:rPr>
      </w:pPr>
      <w:r>
        <w:rPr>
          <w:rFonts w:ascii="Times New Roman" w:hAnsi="Times New Roman"/>
          <w:color w:val="000000"/>
          <w:sz w:val="24"/>
          <w:szCs w:val="24"/>
        </w:rPr>
        <w:t xml:space="preserve">Исходя из полученных данных, наибольший процент подростков, входящих в зону риска по использованию Интернета, обнаружен среди подростков, проживающих в Кеми (27 %). Наибольший процент подростков, которым характерно проблемное использование Интернета — в Пряже (7 %). Статистически значимых различий в уровне интернет-вовлеченности между подростками, проживающими в разных районах Карелии, не было обнаружено. </w:t>
      </w:r>
    </w:p>
    <w:p>
      <w:pPr>
        <w:ind w:firstLine="284"/>
        <w:spacing w:after="0" w:line="240" w:lineRule="auto"/>
        <w:jc w:val="both"/>
        <w:tabs defTabSz="708">
          <w:tab w:val="left" w:pos="3867" w:leader="none"/>
        </w:tabs>
        <w:rPr>
          <w:rFonts w:ascii="Times New Roman" w:hAnsi="Times New Roman"/>
          <w:color w:val="000000"/>
          <w:sz w:val="24"/>
          <w:szCs w:val="24"/>
        </w:rPr>
      </w:pPr>
      <w:r>
        <w:rPr>
          <w:rFonts w:ascii="Times New Roman" w:hAnsi="Times New Roman"/>
          <w:color w:val="000000"/>
          <w:sz w:val="24"/>
          <w:szCs w:val="24"/>
        </w:rPr>
        <w:t>Таким образом, в ходе исследования было выяснено, что подростки в основном проводят в Интернете 2—3 и более часов в день. Б</w:t>
      </w:r>
      <w:r>
        <w:rPr>
          <w:rFonts w:ascii="Times New Roman" w:hAnsi="Times New Roman"/>
          <w:i/>
          <w:color w:val="000000"/>
          <w:sz w:val="24"/>
          <w:szCs w:val="24"/>
        </w:rPr>
        <w:t>о</w:t>
      </w:r>
      <w:r>
        <w:rPr>
          <w:rFonts w:ascii="Times New Roman" w:hAnsi="Times New Roman"/>
          <w:color w:val="000000"/>
          <w:sz w:val="24"/>
          <w:szCs w:val="24"/>
        </w:rPr>
        <w:t xml:space="preserve">льшую активность проявляют учащиеся восьмых и девятых классов. Основными видами активности в Интернете в личных целях являются общение в социальных сетях, прослушивание музыки и онлайн-игры. Для учебы Интернет используется менее часа в день половиной подростков, однако мы отмечаем увеличение отведенного учебным целям времени в Интернете подростками по мере взросления. </w:t>
      </w:r>
    </w:p>
    <w:p>
      <w:pPr>
        <w:ind w:firstLine="284"/>
        <w:spacing w:after="0" w:line="240" w:lineRule="auto"/>
        <w:jc w:val="both"/>
        <w:tabs defTabSz="708">
          <w:tab w:val="left" w:pos="3867" w:leader="none"/>
        </w:tabs>
        <w:rPr>
          <w:rFonts w:ascii="Times New Roman" w:hAnsi="Times New Roman"/>
          <w:color w:val="000000"/>
          <w:sz w:val="24"/>
          <w:szCs w:val="24"/>
        </w:rPr>
      </w:pPr>
      <w:r>
        <w:rPr>
          <w:rFonts w:ascii="Times New Roman" w:hAnsi="Times New Roman"/>
          <w:color w:val="000000"/>
          <w:sz w:val="24"/>
          <w:szCs w:val="24"/>
        </w:rPr>
        <w:t xml:space="preserve">Результаты исследования демонстрируют, что для всех районов Карелии проблема высокой интернет-вовлеченности является достаточно актуальной, поскольку около пятой части подростков в группе риска по проблемному использованию Интернета. </w:t>
      </w:r>
    </w:p>
    <w:p>
      <w:pPr>
        <w:ind w:firstLine="284"/>
        <w:spacing w:after="0" w:line="240" w:lineRule="auto"/>
        <w:jc w:val="both"/>
        <w:tabs defTabSz="708">
          <w:tab w:val="left" w:pos="3867" w:leader="none"/>
        </w:tabs>
        <w:rPr>
          <w:rFonts w:ascii="Times New Roman" w:hAnsi="Times New Roman"/>
          <w:b/>
          <w:bCs/>
          <w:color w:val="000000"/>
          <w:sz w:val="24"/>
          <w:szCs w:val="24"/>
        </w:rPr>
      </w:pPr>
      <w:r>
        <w:rPr>
          <w:rFonts w:ascii="Times New Roman" w:hAnsi="Times New Roman"/>
          <w:b/>
          <w:bCs/>
          <w:color w:val="000000"/>
          <w:sz w:val="24"/>
          <w:szCs w:val="24"/>
        </w:rPr>
      </w:r>
    </w:p>
    <w:p>
      <w:pPr>
        <w:spacing w:after="0" w:line="240" w:lineRule="auto"/>
        <w:jc w:val="center"/>
        <w:tabs defTabSz="708">
          <w:tab w:val="left" w:pos="3867" w:leader="none"/>
        </w:tabs>
        <w:rPr>
          <w:rFonts w:ascii="Times New Roman" w:hAnsi="Times New Roman"/>
          <w:b/>
          <w:bCs/>
          <w:color w:val="000000"/>
          <w:sz w:val="24"/>
          <w:szCs w:val="24"/>
        </w:rPr>
      </w:pPr>
      <w:r>
        <w:rPr>
          <w:rFonts w:ascii="Times New Roman" w:hAnsi="Times New Roman"/>
          <w:b/>
          <w:bCs/>
          <w:color w:val="000000"/>
          <w:sz w:val="24"/>
          <w:szCs w:val="24"/>
        </w:rPr>
        <w:t>Список литературы</w:t>
      </w:r>
    </w:p>
    <w:p>
      <w:pPr>
        <w:ind w:firstLine="284"/>
        <w:spacing w:after="0" w:line="240" w:lineRule="auto"/>
        <w:jc w:val="both"/>
        <w:tabs defTabSz="708">
          <w:tab w:val="left" w:pos="3867" w:leader="none"/>
        </w:tabs>
        <w:rPr>
          <w:rFonts w:ascii="Times New Roman" w:hAnsi="Times New Roman"/>
          <w:b/>
          <w:bCs/>
          <w:color w:val="000000"/>
          <w:sz w:val="24"/>
          <w:szCs w:val="24"/>
        </w:rPr>
      </w:pPr>
      <w:r>
        <w:rPr>
          <w:rFonts w:ascii="Times New Roman" w:hAnsi="Times New Roman"/>
          <w:b/>
          <w:bCs/>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1. Исследование цифровой социализации разных поколений: подростки и родители (2018—2020 гг.). — URL: </w:t>
      </w:r>
      <w:r>
        <w:rPr>
          <w:rStyle w:val="char4"/>
          <w:rFonts w:ascii="Times New Roman" w:hAnsi="Times New Roman"/>
          <w:color w:val="000000"/>
          <w:sz w:val="24"/>
          <w:szCs w:val="24"/>
          <w:u w:color="auto" w:val="none"/>
          <w:hyperlink r:id="rId25"/>
        </w:rPr>
        <w:t>http://www.fid.su/projects/research/digital-socialization-in-adolescents</w:t>
      </w:r>
      <w:r>
        <w:rPr>
          <w:rFonts w:ascii="Times New Roman" w:hAnsi="Times New Roman"/>
          <w:color w:val="000000"/>
          <w:sz w:val="24"/>
          <w:szCs w:val="24"/>
        </w:rPr>
        <w:t xml:space="preserve"> (</w:t>
      </w:r>
      <w:r>
        <w:rPr>
          <w:rFonts w:ascii="Times New Roman" w:hAnsi="Times New Roman"/>
          <w:color w:val="000000"/>
          <w:sz w:val="24"/>
          <w:szCs w:val="24"/>
        </w:rPr>
        <w:t>д</w:t>
      </w:r>
      <w:r>
        <w:rPr>
          <w:rFonts w:ascii="Times New Roman" w:hAnsi="Times New Roman"/>
          <w:color w:val="000000"/>
          <w:sz w:val="24"/>
          <w:szCs w:val="24"/>
        </w:rPr>
        <w:t>ата обращения: 24.09.2023).</w:t>
      </w:r>
      <w:r>
        <w:rPr>
          <w:rFonts w:ascii="Times New Roman" w:hAnsi="Times New Roman"/>
          <w:color w:val="000000"/>
          <w:sz w:val="24"/>
          <w:szCs w:val="24"/>
        </w:rPr>
        <w:t xml:space="preserve"> — </w:t>
      </w:r>
      <w:r>
        <w:rPr>
          <w:rFonts w:ascii="Times New Roman" w:hAnsi="Times New Roman"/>
          <w:color w:val="000000"/>
          <w:sz w:val="24"/>
          <w:szCs w:val="24"/>
        </w:rPr>
        <w:t>Текст :</w:t>
      </w:r>
      <w:r>
        <w:rPr>
          <w:rFonts w:ascii="Times New Roman" w:hAnsi="Times New Roman"/>
          <w:color w:val="000000"/>
          <w:sz w:val="24"/>
          <w:szCs w:val="24"/>
        </w:rPr>
        <w:t xml:space="preserve"> электронный.</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2. </w:t>
      </w:r>
      <w:r>
        <w:rPr>
          <w:rFonts w:ascii="Times New Roman" w:hAnsi="Times New Roman"/>
          <w:i/>
          <w:color w:val="000000"/>
          <w:sz w:val="24"/>
          <w:szCs w:val="24"/>
        </w:rPr>
        <w:t>Колесников В. Н</w:t>
      </w:r>
      <w:r>
        <w:rPr>
          <w:rFonts w:ascii="Times New Roman" w:hAnsi="Times New Roman"/>
          <w:color w:val="000000"/>
          <w:sz w:val="24"/>
          <w:szCs w:val="24"/>
        </w:rPr>
        <w:t>. Интернет-активность и проблемное использование интернета в юношеском возрасте / В. Н. Колесников, Ю. И. Мельник, Л. И. Теплова // Национальный психологический журнал. — 2019. — № 1. — С. 34—46.</w:t>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Рост мобильного Интернета и изменение целей его использования : Федеральная служба государственной статистики. — URL: </w:t>
      </w:r>
      <w:r>
        <w:rPr>
          <w:rStyle w:val="char4"/>
          <w:rFonts w:ascii="Times New Roman" w:hAnsi="Times New Roman"/>
          <w:color w:val="000000"/>
          <w:sz w:val="24"/>
          <w:szCs w:val="24"/>
          <w:u w:color="auto" w:val="none"/>
          <w:hyperlink r:id="rId26"/>
        </w:rPr>
        <w:t>https://rosstat.gov.ru/folder/70843/document/100659</w:t>
      </w:r>
      <w:r>
        <w:rPr>
          <w:rFonts w:ascii="Times New Roman" w:hAnsi="Times New Roman"/>
          <w:color w:val="000000"/>
          <w:sz w:val="24"/>
          <w:szCs w:val="24"/>
        </w:rPr>
        <w:t xml:space="preserve"> (</w:t>
      </w:r>
      <w:r>
        <w:rPr>
          <w:rFonts w:ascii="Times New Roman" w:hAnsi="Times New Roman"/>
          <w:color w:val="000000"/>
          <w:sz w:val="24"/>
          <w:szCs w:val="24"/>
        </w:rPr>
        <w:t>д</w:t>
      </w:r>
      <w:r>
        <w:rPr>
          <w:rFonts w:ascii="Times New Roman" w:hAnsi="Times New Roman"/>
          <w:color w:val="000000"/>
          <w:sz w:val="24"/>
          <w:szCs w:val="24"/>
        </w:rPr>
        <w:t>ата обращения: 23.09.2023).</w:t>
      </w:r>
      <w:r>
        <w:rPr>
          <w:rFonts w:ascii="Times New Roman" w:hAnsi="Times New Roman"/>
          <w:color w:val="000000"/>
          <w:sz w:val="24"/>
          <w:szCs w:val="24"/>
        </w:rPr>
        <w:t xml:space="preserve"> — </w:t>
      </w:r>
      <w:r>
        <w:rPr>
          <w:rFonts w:ascii="Times New Roman" w:hAnsi="Times New Roman"/>
          <w:color w:val="000000"/>
          <w:sz w:val="24"/>
          <w:szCs w:val="24"/>
        </w:rPr>
        <w:t>Текст :</w:t>
      </w:r>
      <w:r>
        <w:rPr>
          <w:rFonts w:ascii="Times New Roman" w:hAnsi="Times New Roman"/>
          <w:color w:val="000000"/>
          <w:sz w:val="24"/>
          <w:szCs w:val="24"/>
        </w:rPr>
        <w:t xml:space="preserve"> электронный.</w:t>
      </w:r>
      <w:r>
        <w:rPr>
          <w:rFonts w:ascii="Times New Roman" w:hAnsi="Times New Roman"/>
          <w:color w:val="000000"/>
          <w:sz w:val="24"/>
          <w:szCs w:val="24"/>
        </w:rPr>
      </w:r>
    </w:p>
    <w:p>
      <w:pPr>
        <w:ind w:firstLine="284"/>
        <w:spacing w:after="0" w:line="240" w:lineRule="auto"/>
        <w:jc w:val="both"/>
        <w:rPr>
          <w:rFonts w:ascii="Times New Roman" w:hAnsi="Times New Roman"/>
          <w:color w:val="000000"/>
          <w:sz w:val="24"/>
          <w:szCs w:val="24"/>
        </w:rPr>
      </w:pPr>
      <w:r>
        <w:rPr>
          <w:rFonts w:ascii="Times New Roman" w:hAnsi="Times New Roman"/>
          <w:color w:val="000000"/>
          <w:sz w:val="24"/>
          <w:szCs w:val="24"/>
        </w:rPr>
        <w:t>4. Рожденные цифровыми: семейный контекст и когнитивное развитие / Г. У. Солдатова, Е. И. Рассказова, А. Е. Вишнева, О. И. Теславская, С. В. Чигарькова. — Москва : Акрополь, 2022. — 356 c.</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footerReference w:type="default" r:id="rId27"/>
      <w:type w:val="nextPage"/>
      <w:pgSz w:h="16838" w:w="11906"/>
      <w:pgMar w:left="1134" w:top="1134" w:right="1134" w:bottom="1134" w:header="0" w:footer="708"/>
      <w:paperSrc w:first="0" w:other="0" a="0" b="0"/>
      <w:pgNumType w:fmt="decimal"/>
      <w:tmGutter w:val="3"/>
      <w:mirrorMargins w:val="0"/>
      <w:tmSection w:h="-2">
        <w:tmFooter w:id="0" w:h="0" edge="708" text="0">
          <w:shd w:val="none"/>
        </w:tmFooter>
      </w:tmSection>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Sans">
    <w:charset w:val="00"/>
    <w:family w:val="roman"/>
    <w:pitch w:val="default"/>
  </w:font>
  <w:font w:name="Times New Roman">
    <w:charset w:val="00"/>
    <w:family w:val="roman"/>
    <w:pitch w:val="default"/>
  </w:font>
  <w:font w:name="Courier New">
    <w:charset w:val="00"/>
    <w:family w:val="modern"/>
    <w:pitch w:val="default"/>
  </w:font>
  <w:font w:name="Symbol">
    <w:charset w:val="02"/>
    <w:family w:val="roman"/>
    <w:pitch w:val="default"/>
  </w:font>
  <w:font w:name="Arial">
    <w:charset w:val="00"/>
    <w:family w:val="swiss"/>
    <w:pitch w:val="default"/>
  </w:font>
  <w:font w:name="Calibri">
    <w:charset w:val="00"/>
    <w:family w:val="swiss"/>
    <w:pitch w:val="default"/>
  </w:font>
  <w:font w:name="Tahoma">
    <w:charset w:val="00"/>
    <w:family w:val="swiss"/>
    <w:pitch w:val="default"/>
  </w:font>
  <w:font w:name="FrutigerLTPro-LightCn">
    <w:charset w:val="00"/>
    <w:family w:val="roman"/>
    <w:pitch w:val="default"/>
  </w:font>
  <w:font w:name="Gungsuh">
    <w:charset w:val="00"/>
    <w:family w:val="roman"/>
    <w:pitch w:val="default"/>
  </w:font>
  <w:font w:name="Cardo">
    <w:charset w:val="00"/>
    <w:family w:val="auto"/>
    <w:pitch w:val="default"/>
  </w:font>
  <w:font w:name="EB Garamond">
    <w:charset w:val="00"/>
    <w:family w:val="auto"/>
    <w:pitch w:val="default"/>
  </w:font>
  <w:font w:name="TimesNewRomanPSMT">
    <w:charset w:val="00"/>
    <w:family w:val="roman"/>
    <w:pitch w:val="default"/>
  </w:font>
  <w:font w:name="PetersburgC">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
      <w:spacing/>
      <w:jc w:val="center"/>
      <w:rPr>
        <w:rFonts w:ascii="Times New Roman" w:hAnsi="Times New Roman"/>
      </w:rPr>
    </w:pPr>
    <w:r>
      <w:rPr>
        <w:rFonts w:ascii="Times New Roman" w:hAnsi="Times New Roman"/>
      </w:rPr>
      <w:fldChar w:fldCharType="begin"/>
      <w:instrText xml:space="preserve"> PAGE </w:instrText>
      <w:fldChar w:fldCharType="separate"/>
      <w:t>1</w:t>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hybridMultilevel"/>
    <w:name w:val="Нумерованный список 1"/>
    <w:lvl w:ilvl="0">
      <w:start w:val="1"/>
      <w:numFmt w:val="decimal"/>
      <w:suff w:val="tab"/>
      <w:lvlText w:val="%1."/>
      <w:lvlJc w:val="left"/>
      <w:addIndent w:val="360"/>
      <w:bPr>
        <w:type w:val="num"/>
        <w:numType w:val="1"/>
        <w:position w:dxa="0" w:dya="0"/>
        <w:jc w:val="left"/>
      </w:bPr>
      <w:rPr>
        <w:rFonts w:ascii="Times New Roman" w:hAnsi="Times New Roman" w:cs="Times New Roman"/>
        <w:sz w:val="28"/>
        <w:szCs w:val="28"/>
      </w:rPr>
    </w:lvl>
    <w:lvl w:ilvl="1">
      <w:start w:val="1"/>
      <w:numFmt w:val="lowerLetter"/>
      <w:suff w:val="tab"/>
      <w:lvlText w:val="%2."/>
      <w:lvlJc w:val="left"/>
      <w:addIndent w:val="1080"/>
      <w:bPr>
        <w:type w:val="num"/>
        <w:numType w:val="3"/>
        <w:position w:dxa="0" w:dya="0"/>
        <w:jc w:val="left"/>
      </w:bPr>
      <w:rPr>
        <w:rFonts w:cs="Times New Roman"/>
      </w:r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rPr>
        <w:rFonts w:cs="Times New Roman"/>
      </w:rPr>
    </w:lvl>
    <w:lvl w:ilvl="3">
      <w:start w:val="1"/>
      <w:numFmt w:val="decimal"/>
      <w:suff w:val="tab"/>
      <w:lvlText w:val="%4."/>
      <w:lvlJc w:val="left"/>
      <w:addIndent w:val="2520"/>
      <w:bPr>
        <w:type w:val="num"/>
        <w:numType w:val="1"/>
        <w:position w:dxa="0" w:dya="0"/>
        <w:jc w:val="left"/>
      </w:bPr>
      <w:rPr>
        <w:rFonts w:cs="Times New Roman"/>
      </w:rPr>
    </w:lvl>
    <w:lvl w:ilvl="4">
      <w:start w:val="1"/>
      <w:numFmt w:val="lowerLetter"/>
      <w:suff w:val="tab"/>
      <w:lvlText w:val="%5."/>
      <w:lvlJc w:val="left"/>
      <w:addIndent w:val="3240"/>
      <w:bPr>
        <w:type w:val="num"/>
        <w:numType w:val="3"/>
        <w:position w:dxa="0" w:dya="0"/>
        <w:jc w:val="left"/>
      </w:bPr>
      <w:rPr>
        <w:rFonts w:cs="Times New Roman"/>
      </w:r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rPr>
        <w:rFonts w:cs="Times New Roman"/>
      </w:rPr>
    </w:lvl>
    <w:lvl w:ilvl="6">
      <w:start w:val="1"/>
      <w:numFmt w:val="decimal"/>
      <w:suff w:val="tab"/>
      <w:lvlText w:val="%7."/>
      <w:lvlJc w:val="left"/>
      <w:addIndent w:val="4680"/>
      <w:bPr>
        <w:type w:val="num"/>
        <w:numType w:val="1"/>
        <w:position w:dxa="0" w:dya="0"/>
        <w:jc w:val="left"/>
      </w:bPr>
      <w:rPr>
        <w:rFonts w:cs="Times New Roman"/>
      </w:rPr>
    </w:lvl>
    <w:lvl w:ilvl="7">
      <w:start w:val="1"/>
      <w:numFmt w:val="lowerLetter"/>
      <w:suff w:val="tab"/>
      <w:lvlText w:val="%8."/>
      <w:lvlJc w:val="left"/>
      <w:addIndent w:val="5400"/>
      <w:bPr>
        <w:type w:val="num"/>
        <w:numType w:val="3"/>
        <w:position w:dxa="0" w:dya="0"/>
        <w:jc w:val="left"/>
      </w:bPr>
      <w:rPr>
        <w:rFonts w:cs="Times New Roman"/>
      </w:r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rPr>
        <w:rFonts w:cs="Times New Roman"/>
      </w:rPr>
    </w:lvl>
  </w:abstractNum>
  <w:abstractNum w:abstractNumId="2">
    <w:multiLevelType w:val="hybridMultilevel"/>
    <w:name w:val="Нумерованный список 2"/>
    <w:lvl w:ilvl="0">
      <w:start w:val="1"/>
      <w:numFmt w:val="decimal"/>
      <w:suff w:val="tab"/>
      <w:lvlText w:val="%1."/>
      <w:lvlJc w:val="left"/>
      <w:addIndent w:val="720"/>
      <w:bPr>
        <w:type w:val="num"/>
        <w:numType w:val="1"/>
        <w:position w:dxa="0" w:dya="0"/>
        <w:jc w:val="left"/>
      </w:bPr>
    </w:lvl>
    <w:lvl w:ilvl="1">
      <w:start w:val="1"/>
      <w:numFmt w:val="lowerLetter"/>
      <w:suff w:val="tab"/>
      <w:lvlText w:val="%2."/>
      <w:lvlJc w:val="left"/>
      <w:addIndent w:val="144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2340"/>
      <w:bPr>
        <w:type w:val="num"/>
        <w:numType w:val="5"/>
        <w:position w:dxa="0" w:dya="0"/>
        <w:jc w:val="left"/>
      </w:bPr>
    </w:lvl>
    <w:lvl w:ilvl="3">
      <w:start w:val="1"/>
      <w:numFmt w:val="decimal"/>
      <w:suff w:val="tab"/>
      <w:lvlText w:val="%4."/>
      <w:lvlJc w:val="left"/>
      <w:addIndent w:val="2880"/>
      <w:bPr>
        <w:type w:val="num"/>
        <w:numType w:val="1"/>
        <w:position w:dxa="0" w:dya="0"/>
        <w:jc w:val="left"/>
      </w:bPr>
    </w:lvl>
    <w:lvl w:ilvl="4">
      <w:start w:val="1"/>
      <w:numFmt w:val="lowerLetter"/>
      <w:suff w:val="tab"/>
      <w:lvlText w:val="%5."/>
      <w:lvlJc w:val="left"/>
      <w:addIndent w:val="360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500"/>
      <w:bPr>
        <w:type w:val="num"/>
        <w:numType w:val="5"/>
        <w:position w:dxa="0" w:dya="0"/>
        <w:jc w:val="left"/>
      </w:bPr>
    </w:lvl>
    <w:lvl w:ilvl="6">
      <w:start w:val="1"/>
      <w:numFmt w:val="decimal"/>
      <w:suff w:val="tab"/>
      <w:lvlText w:val="%7."/>
      <w:lvlJc w:val="left"/>
      <w:addIndent w:val="5040"/>
      <w:bPr>
        <w:type w:val="num"/>
        <w:numType w:val="1"/>
        <w:position w:dxa="0" w:dya="0"/>
        <w:jc w:val="left"/>
      </w:bPr>
    </w:lvl>
    <w:lvl w:ilvl="7">
      <w:start w:val="1"/>
      <w:numFmt w:val="lowerLetter"/>
      <w:suff w:val="tab"/>
      <w:lvlText w:val="%8."/>
      <w:lvlJc w:val="left"/>
      <w:addIndent w:val="576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660"/>
      <w:bPr>
        <w:type w:val="num"/>
        <w:numType w:val="5"/>
        <w:position w:dxa="0" w:dya="0"/>
        <w:jc w:val="left"/>
      </w:bPr>
    </w:lvl>
  </w:abstractNum>
  <w:abstractNum w:abstractNumId="3">
    <w:multiLevelType w:val="hybridMultilevel"/>
    <w:name w:val="Нумерованный список 3"/>
    <w:lvl w:ilvl="0">
      <w:start w:val="1"/>
      <w:numFmt w:val="decimal"/>
      <w:suff w:val="tab"/>
      <w:lvlText w:val="%1."/>
      <w:lvlJc w:val="left"/>
      <w:addIndent w:val="709"/>
      <w:bPr>
        <w:type w:val="num"/>
        <w:numType w:val="1"/>
        <w:position w:dxa="0" w:dya="0"/>
        <w:jc w:val="left"/>
      </w:bPr>
      <w:rPr>
        <w:rFonts w:ascii="Times New Roman" w:hAnsi="Times New Roman" w:eastAsia="Times New Roman" w:cs="Times New Roman"/>
      </w:rPr>
    </w:lvl>
    <w:lvl w:ilvl="1">
      <w:start w:val="1"/>
      <w:numFmt w:val="lowerLetter"/>
      <w:suff w:val="tab"/>
      <w:lvlText w:val="%2."/>
      <w:lvlJc w:val="left"/>
      <w:addIndent w:val="1429"/>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2329"/>
      <w:bPr>
        <w:type w:val="num"/>
        <w:numType w:val="5"/>
        <w:position w:dxa="0" w:dya="0"/>
        <w:jc w:val="left"/>
      </w:bPr>
    </w:lvl>
    <w:lvl w:ilvl="3">
      <w:start w:val="1"/>
      <w:numFmt w:val="decimal"/>
      <w:suff w:val="tab"/>
      <w:lvlText w:val="%4."/>
      <w:lvlJc w:val="left"/>
      <w:addIndent w:val="2869"/>
      <w:bPr>
        <w:type w:val="num"/>
        <w:numType w:val="1"/>
        <w:position w:dxa="0" w:dya="0"/>
        <w:jc w:val="left"/>
      </w:bPr>
    </w:lvl>
    <w:lvl w:ilvl="4">
      <w:start w:val="1"/>
      <w:numFmt w:val="lowerLetter"/>
      <w:suff w:val="tab"/>
      <w:lvlText w:val="%5."/>
      <w:lvlJc w:val="left"/>
      <w:addIndent w:val="3589"/>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489"/>
      <w:bPr>
        <w:type w:val="num"/>
        <w:numType w:val="5"/>
        <w:position w:dxa="0" w:dya="0"/>
        <w:jc w:val="left"/>
      </w:bPr>
    </w:lvl>
    <w:lvl w:ilvl="6">
      <w:start w:val="1"/>
      <w:numFmt w:val="decimal"/>
      <w:suff w:val="tab"/>
      <w:lvlText w:val="%7."/>
      <w:lvlJc w:val="left"/>
      <w:addIndent w:val="5029"/>
      <w:bPr>
        <w:type w:val="num"/>
        <w:numType w:val="1"/>
        <w:position w:dxa="0" w:dya="0"/>
        <w:jc w:val="left"/>
      </w:bPr>
    </w:lvl>
    <w:lvl w:ilvl="7">
      <w:start w:val="1"/>
      <w:numFmt w:val="lowerLetter"/>
      <w:suff w:val="tab"/>
      <w:lvlText w:val="%8."/>
      <w:lvlJc w:val="left"/>
      <w:addIndent w:val="5749"/>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649"/>
      <w:bPr>
        <w:type w:val="num"/>
        <w:numType w:val="5"/>
        <w:position w:dxa="0" w:dya="0"/>
        <w:jc w:val="left"/>
      </w:bPr>
    </w:lvl>
  </w:abstractNum>
  <w:abstractNum w:abstractNumId="4">
    <w:multiLevelType w:val="hybridMultilevel"/>
    <w:name w:val="Нумерованный список 4"/>
    <w:lvl w:ilvl="0">
      <w:start w:val="1"/>
      <w:numFmt w:val="decimal"/>
      <w:suff w:val="tab"/>
      <w:lvlText w:val="%1."/>
      <w:lvlJc w:val="left"/>
      <w:addIndent w:val="360"/>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lvl>
  </w:abstractNum>
  <w:abstractNum w:abstractNumId="5">
    <w:multiLevelType w:val="hybridMultilevel"/>
    <w:name w:val="Нумерованный список 5"/>
    <w:lvl w:ilvl="0">
      <w:start w:val="1"/>
      <w:numFmt w:val="decimal"/>
      <w:suff w:val="tab"/>
      <w:lvlText w:val="%1."/>
      <w:lvlJc w:val="left"/>
      <w:addIndent w:val="360"/>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lvl>
  </w:abstractNum>
  <w:abstractNum w:abstractNumId="6">
    <w:multiLevelType w:val="hybridMultilevel"/>
    <w:name w:val="Нумерованный список 6"/>
    <w:lvl w:ilvl="0">
      <w:start w:val="1"/>
      <w:numFmt w:val="decimal"/>
      <w:suff w:val="tab"/>
      <w:lvlText w:val="%1."/>
      <w:lvlJc w:val="left"/>
      <w:addIndent w:val="142"/>
      <w:bPr>
        <w:type w:val="num"/>
        <w:numType w:val="1"/>
        <w:position w:dxa="0" w:dya="0"/>
        <w:jc w:val="left"/>
      </w:bPr>
      <w:rPr>
        <w:b w:val="0"/>
      </w:rPr>
    </w:lvl>
    <w:lvl w:ilvl="1">
      <w:start w:val="1"/>
      <w:numFmt w:val="lowerLetter"/>
      <w:suff w:val="tab"/>
      <w:lvlText w:val="%2."/>
      <w:lvlJc w:val="left"/>
      <w:addIndent w:val="862"/>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762"/>
      <w:bPr>
        <w:type w:val="num"/>
        <w:numType w:val="5"/>
        <w:position w:dxa="0" w:dya="0"/>
        <w:jc w:val="left"/>
      </w:bPr>
    </w:lvl>
    <w:lvl w:ilvl="3">
      <w:start w:val="1"/>
      <w:numFmt w:val="decimal"/>
      <w:suff w:val="tab"/>
      <w:lvlText w:val="%4."/>
      <w:lvlJc w:val="left"/>
      <w:addIndent w:val="2302"/>
      <w:bPr>
        <w:type w:val="num"/>
        <w:numType w:val="1"/>
        <w:position w:dxa="0" w:dya="0"/>
        <w:jc w:val="left"/>
      </w:bPr>
    </w:lvl>
    <w:lvl w:ilvl="4">
      <w:start w:val="1"/>
      <w:numFmt w:val="lowerLetter"/>
      <w:suff w:val="tab"/>
      <w:lvlText w:val="%5."/>
      <w:lvlJc w:val="left"/>
      <w:addIndent w:val="3022"/>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3922"/>
      <w:bPr>
        <w:type w:val="num"/>
        <w:numType w:val="5"/>
        <w:position w:dxa="0" w:dya="0"/>
        <w:jc w:val="left"/>
      </w:bPr>
    </w:lvl>
    <w:lvl w:ilvl="6">
      <w:start w:val="1"/>
      <w:numFmt w:val="decimal"/>
      <w:suff w:val="tab"/>
      <w:lvlText w:val="%7."/>
      <w:lvlJc w:val="left"/>
      <w:addIndent w:val="4462"/>
      <w:bPr>
        <w:type w:val="num"/>
        <w:numType w:val="1"/>
        <w:position w:dxa="0" w:dya="0"/>
        <w:jc w:val="left"/>
      </w:bPr>
    </w:lvl>
    <w:lvl w:ilvl="7">
      <w:start w:val="1"/>
      <w:numFmt w:val="lowerLetter"/>
      <w:suff w:val="tab"/>
      <w:lvlText w:val="%8."/>
      <w:lvlJc w:val="left"/>
      <w:addIndent w:val="5182"/>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082"/>
      <w:bPr>
        <w:type w:val="num"/>
        <w:numType w:val="5"/>
        <w:position w:dxa="0" w:dya="0"/>
        <w:jc w:val="left"/>
      </w:bPr>
    </w:lvl>
  </w:abstractNum>
  <w:abstractNum w:abstractNumId="7">
    <w:multiLevelType w:val="hybridMultilevel"/>
    <w:name w:val="Нумерованный список 7"/>
    <w:lvl w:ilvl="0">
      <w:numFmt w:val="bullet"/>
      <w:suff w:val="tab"/>
      <w:lvlText w:val="-"/>
      <w:lvlJc w:val="left"/>
      <w:addIndent w:val="1069"/>
      <w:bPr>
        <w:type w:val="char"/>
        <w:bChar w:val="45"/>
        <w:position w:dxa="0" w:dya="0"/>
        <w:jc w:val="left"/>
      </w:bPr>
      <w:rPr>
        <w:rFonts w:ascii="Andalus" w:hAnsi="Andalus"/>
      </w:rPr>
    </w:lvl>
    <w:lvl w:ilvl="1">
      <w:numFmt w:val="bullet"/>
      <w:suff w:val="tab"/>
      <w:lvlText w:val="o"/>
      <w:lvlJc w:val="left"/>
      <w:addIndent w:val="1789"/>
      <w:bPr>
        <w:type w:val="char"/>
        <w:bChar w:val="111"/>
        <w:position w:dxa="0" w:dya="0"/>
        <w:jc w:val="left"/>
      </w:bPr>
      <w:rPr>
        <w:rFonts w:ascii="Courier New" w:hAnsi="Courier New" w:cs="Courier New"/>
      </w:rPr>
    </w:lvl>
    <w:lvl w:ilvl="2">
      <w:numFmt w:val="bullet"/>
      <w:suff w:val="tab"/>
      <w:lvlText w:val=""/>
      <w:lvlJc w:val="left"/>
      <w:addIndent w:val="2509"/>
      <w:bPr>
        <w:type w:val="rect"/>
        <w:position w:dxa="0" w:dya="0"/>
        <w:jc w:val="left"/>
      </w:bPr>
      <w:rPr>
        <w:rFonts w:ascii="Wingdings" w:hAnsi="Wingdings" w:eastAsia="Wingdings" w:cs="Wingdings"/>
      </w:rPr>
    </w:lvl>
    <w:lvl w:ilvl="3">
      <w:numFmt w:val="bullet"/>
      <w:suff w:val="tab"/>
      <w:lvlText w:val="·"/>
      <w:lvlJc w:val="left"/>
      <w:addIndent w:val="3229"/>
      <w:bPr>
        <w:type w:val="char"/>
        <w:bChar w:val="183"/>
        <w:position w:dxa="0" w:dya="0"/>
        <w:jc w:val="left"/>
      </w:bPr>
      <w:rPr>
        <w:rFonts w:ascii="Symbol" w:hAnsi="Symbol"/>
      </w:rPr>
    </w:lvl>
    <w:lvl w:ilvl="4">
      <w:numFmt w:val="bullet"/>
      <w:suff w:val="tab"/>
      <w:lvlText w:val="o"/>
      <w:lvlJc w:val="left"/>
      <w:addIndent w:val="3949"/>
      <w:bPr>
        <w:type w:val="char"/>
        <w:bChar w:val="111"/>
        <w:position w:dxa="0" w:dya="0"/>
        <w:jc w:val="left"/>
      </w:bPr>
      <w:rPr>
        <w:rFonts w:ascii="Courier New" w:hAnsi="Courier New" w:cs="Courier New"/>
      </w:rPr>
    </w:lvl>
    <w:lvl w:ilvl="5">
      <w:numFmt w:val="bullet"/>
      <w:suff w:val="tab"/>
      <w:lvlText w:val=""/>
      <w:lvlJc w:val="left"/>
      <w:addIndent w:val="4669"/>
      <w:bPr>
        <w:type w:val="rect"/>
        <w:position w:dxa="0" w:dya="0"/>
        <w:jc w:val="left"/>
      </w:bPr>
      <w:rPr>
        <w:rFonts w:ascii="Wingdings" w:hAnsi="Wingdings" w:eastAsia="Wingdings" w:cs="Wingdings"/>
      </w:rPr>
    </w:lvl>
    <w:lvl w:ilvl="6">
      <w:numFmt w:val="bullet"/>
      <w:suff w:val="tab"/>
      <w:lvlText w:val="·"/>
      <w:lvlJc w:val="left"/>
      <w:addIndent w:val="5389"/>
      <w:bPr>
        <w:type w:val="char"/>
        <w:bChar w:val="183"/>
        <w:position w:dxa="0" w:dya="0"/>
        <w:jc w:val="left"/>
      </w:bPr>
      <w:rPr>
        <w:rFonts w:ascii="Symbol" w:hAnsi="Symbol"/>
      </w:rPr>
    </w:lvl>
    <w:lvl w:ilvl="7">
      <w:numFmt w:val="bullet"/>
      <w:suff w:val="tab"/>
      <w:lvlText w:val="o"/>
      <w:lvlJc w:val="left"/>
      <w:addIndent w:val="6109"/>
      <w:bPr>
        <w:type w:val="char"/>
        <w:bChar w:val="111"/>
        <w:position w:dxa="0" w:dya="0"/>
        <w:jc w:val="left"/>
      </w:bPr>
      <w:rPr>
        <w:rFonts w:ascii="Courier New" w:hAnsi="Courier New" w:cs="Courier New"/>
      </w:rPr>
    </w:lvl>
    <w:lvl w:ilvl="8">
      <w:numFmt w:val="bullet"/>
      <w:suff w:val="tab"/>
      <w:lvlText w:val=""/>
      <w:lvlJc w:val="left"/>
      <w:addIndent w:val="6829"/>
      <w:bPr>
        <w:type w:val="rect"/>
        <w:position w:dxa="0" w:dya="0"/>
        <w:jc w:val="left"/>
      </w:bPr>
      <w:rPr>
        <w:rFonts w:ascii="Wingdings" w:hAnsi="Wingdings" w:eastAsia="Wingdings" w:cs="Wingdings"/>
      </w:rPr>
    </w:lvl>
  </w:abstractNum>
  <w:abstractNum w:abstractNumId="8">
    <w:multiLevelType w:val="hybridMultilevel"/>
    <w:name w:val="Нумерованный список 8"/>
    <w:lvl w:ilvl="0">
      <w:start w:val="1"/>
      <w:numFmt w:val="decimal"/>
      <w:suff w:val="tab"/>
      <w:lvlText w:val="%1."/>
      <w:lvlJc w:val="left"/>
      <w:addIndent w:val="360"/>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lvl>
  </w:abstractNum>
  <w:abstractNum w:abstractNumId="9">
    <w:multiLevelType w:val="hybridMultilevel"/>
    <w:name w:val="Нумерованный список 9"/>
    <w:lvl w:ilvl="0">
      <w:start w:val="1"/>
      <w:numFmt w:val="decimal"/>
      <w:suff w:val="tab"/>
      <w:lvlText w:val="%1."/>
      <w:lvlJc w:val="left"/>
      <w:addIndent w:val="360"/>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lvl>
  </w:abstractNum>
  <w:abstractNum w:abstractNumId="10">
    <w:multiLevelType w:val="hybridMultilevel"/>
    <w:name w:val="Нумерованный список 10"/>
    <w:lvl w:ilvl="0">
      <w:start w:val="1"/>
      <w:numFmt w:val="decimal"/>
      <w:suff w:val="tab"/>
      <w:lvlText w:val="%1."/>
      <w:lvlJc w:val="left"/>
      <w:addIndent w:val="348"/>
      <w:bPr>
        <w:type w:val="num"/>
        <w:numType w:val="1"/>
        <w:position w:dxa="0" w:dya="0"/>
        <w:jc w:val="left"/>
      </w:bPr>
    </w:lvl>
    <w:lvl w:ilvl="1">
      <w:start w:val="1"/>
      <w:numFmt w:val="decimal"/>
      <w:suff w:val="tab"/>
      <w:lvlText w:val="%2."/>
      <w:lvlJc w:val="left"/>
      <w:addIndent w:val="1080"/>
      <w:bPr>
        <w:type w:val="num"/>
        <w:numType w:val="1"/>
        <w:position w:dxa="0" w:dya="0"/>
        <w:jc w:val="left"/>
      </w:bPr>
    </w:lvl>
    <w:lvl w:ilvl="2">
      <w:start w:val="1"/>
      <w:numFmt w:val="decimal"/>
      <w:suff w:val="tab"/>
      <w:lvlText w:val="%3."/>
      <w:lvlJc w:val="left"/>
      <w:addIndent w:val="1800"/>
      <w:bPr>
        <w:type w:val="num"/>
        <w:numType w:val="1"/>
        <w:position w:dxa="0" w:dya="0"/>
        <w:jc w:val="left"/>
      </w:bPr>
    </w:lvl>
    <w:lvl w:ilvl="3">
      <w:start w:val="1"/>
      <w:numFmt w:val="decimal"/>
      <w:suff w:val="tab"/>
      <w:lvlText w:val="%4."/>
      <w:lvlJc w:val="left"/>
      <w:addIndent w:val="2520"/>
      <w:bPr>
        <w:type w:val="num"/>
        <w:numType w:val="1"/>
        <w:position w:dxa="0" w:dya="0"/>
        <w:jc w:val="left"/>
      </w:bPr>
    </w:lvl>
    <w:lvl w:ilvl="4">
      <w:start w:val="1"/>
      <w:numFmt w:val="decimal"/>
      <w:suff w:val="tab"/>
      <w:lvlText w:val="%5."/>
      <w:lvlJc w:val="left"/>
      <w:addIndent w:val="3240"/>
      <w:bPr>
        <w:type w:val="num"/>
        <w:numType w:val="1"/>
        <w:position w:dxa="0" w:dya="0"/>
        <w:jc w:val="left"/>
      </w:bPr>
    </w:lvl>
    <w:lvl w:ilvl="5">
      <w:start w:val="1"/>
      <w:numFmt w:val="decimal"/>
      <w:suff w:val="tab"/>
      <w:lvlText w:val="%6."/>
      <w:lvlJc w:val="left"/>
      <w:addIndent w:val="3960"/>
      <w:bPr>
        <w:type w:val="num"/>
        <w:numType w:val="1"/>
        <w:position w:dxa="0" w:dya="0"/>
        <w:jc w:val="left"/>
      </w:bPr>
    </w:lvl>
    <w:lvl w:ilvl="6">
      <w:start w:val="1"/>
      <w:numFmt w:val="decimal"/>
      <w:suff w:val="tab"/>
      <w:lvlText w:val="%7."/>
      <w:lvlJc w:val="left"/>
      <w:addIndent w:val="4680"/>
      <w:bPr>
        <w:type w:val="num"/>
        <w:numType w:val="1"/>
        <w:position w:dxa="0" w:dya="0"/>
        <w:jc w:val="left"/>
      </w:bPr>
    </w:lvl>
    <w:lvl w:ilvl="7">
      <w:start w:val="1"/>
      <w:numFmt w:val="decimal"/>
      <w:suff w:val="tab"/>
      <w:lvlText w:val="%8."/>
      <w:lvlJc w:val="left"/>
      <w:addIndent w:val="5400"/>
      <w:bPr>
        <w:type w:val="num"/>
        <w:numType w:val="1"/>
        <w:position w:dxa="0" w:dya="0"/>
        <w:jc w:val="left"/>
      </w:bPr>
    </w:lvl>
    <w:lvl w:ilvl="8">
      <w:start w:val="1"/>
      <w:numFmt w:val="decimal"/>
      <w:suff w:val="tab"/>
      <w:lvlText w:val="%9."/>
      <w:lvlJc w:val="left"/>
      <w:addIndent w:val="6120"/>
      <w:bPr>
        <w:type w:val="num"/>
        <w:numType w:val="1"/>
        <w:position w:dxa="0" w:dya="0"/>
        <w:jc w:val="left"/>
      </w:bPr>
    </w:lvl>
  </w:abstractNum>
  <w:abstractNum w:abstractNumId="11">
    <w:multiLevelType w:val="hybridMultilevel"/>
    <w:name w:val="Нумерованный список 11"/>
    <w:lvl w:ilvl="0">
      <w:start w:val="1"/>
      <w:numFmt w:val="decimal"/>
      <w:suff w:val="tab"/>
      <w:lvlText w:val="%1."/>
      <w:lvlJc w:val="left"/>
      <w:addIndent w:val="360"/>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lvl>
  </w:abstractNum>
  <w:abstractNum w:abstractNumId="12">
    <w:multiLevelType w:val="hybridMultilevel"/>
    <w:name w:val="Нумерованный список 12"/>
    <w:lvl w:ilvl="0">
      <w:start w:val="1"/>
      <w:numFmt w:val="decimal"/>
      <w:suff w:val="tab"/>
      <w:lvlText w:val="%1."/>
      <w:lvlJc w:val="left"/>
      <w:addIndent w:val="360"/>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lvl>
  </w:abstractNum>
  <w:abstractNum w:abstractNumId="13">
    <w:multiLevelType w:val="hybridMultilevel"/>
    <w:name w:val="Нумерованный список 13"/>
    <w:lvl w:ilvl="0">
      <w:start w:val="1"/>
      <w:numFmt w:val="decimal"/>
      <w:suff w:val="tab"/>
      <w:lvlText w:val="%1."/>
      <w:lvlJc w:val="left"/>
      <w:addIndent w:val="360"/>
      <w:bPr>
        <w:type w:val="num"/>
        <w:numType w:val="1"/>
        <w:position w:dxa="0" w:dya="0"/>
        <w:jc w:val="left"/>
      </w:bPr>
    </w:lvl>
    <w:lvl w:ilvl="1">
      <w:start w:val="1"/>
      <w:numFmt w:val="decimal"/>
      <w:suff w:val="tab"/>
      <w:lvlText w:val="%2."/>
      <w:lvlJc w:val="left"/>
      <w:addIndent w:val="1080"/>
      <w:bPr>
        <w:type w:val="num"/>
        <w:numType w:val="1"/>
        <w:position w:dxa="0" w:dya="0"/>
        <w:jc w:val="left"/>
      </w:bPr>
    </w:lvl>
    <w:lvl w:ilvl="2">
      <w:start w:val="1"/>
      <w:numFmt w:val="decimal"/>
      <w:suff w:val="tab"/>
      <w:lvlText w:val="%3."/>
      <w:lvlJc w:val="left"/>
      <w:addIndent w:val="1800"/>
      <w:bPr>
        <w:type w:val="num"/>
        <w:numType w:val="1"/>
        <w:position w:dxa="0" w:dya="0"/>
        <w:jc w:val="left"/>
      </w:bPr>
    </w:lvl>
    <w:lvl w:ilvl="3">
      <w:start w:val="1"/>
      <w:numFmt w:val="decimal"/>
      <w:suff w:val="tab"/>
      <w:lvlText w:val="%4."/>
      <w:lvlJc w:val="left"/>
      <w:addIndent w:val="2520"/>
      <w:bPr>
        <w:type w:val="num"/>
        <w:numType w:val="1"/>
        <w:position w:dxa="0" w:dya="0"/>
        <w:jc w:val="left"/>
      </w:bPr>
    </w:lvl>
    <w:lvl w:ilvl="4">
      <w:start w:val="1"/>
      <w:numFmt w:val="decimal"/>
      <w:suff w:val="tab"/>
      <w:lvlText w:val="%5."/>
      <w:lvlJc w:val="left"/>
      <w:addIndent w:val="3240"/>
      <w:bPr>
        <w:type w:val="num"/>
        <w:numType w:val="1"/>
        <w:position w:dxa="0" w:dya="0"/>
        <w:jc w:val="left"/>
      </w:bPr>
    </w:lvl>
    <w:lvl w:ilvl="5">
      <w:start w:val="1"/>
      <w:numFmt w:val="decimal"/>
      <w:suff w:val="tab"/>
      <w:lvlText w:val="%6."/>
      <w:lvlJc w:val="left"/>
      <w:addIndent w:val="3960"/>
      <w:bPr>
        <w:type w:val="num"/>
        <w:numType w:val="1"/>
        <w:position w:dxa="0" w:dya="0"/>
        <w:jc w:val="left"/>
      </w:bPr>
    </w:lvl>
    <w:lvl w:ilvl="6">
      <w:start w:val="1"/>
      <w:numFmt w:val="decimal"/>
      <w:suff w:val="tab"/>
      <w:lvlText w:val="%7."/>
      <w:lvlJc w:val="left"/>
      <w:addIndent w:val="4680"/>
      <w:bPr>
        <w:type w:val="num"/>
        <w:numType w:val="1"/>
        <w:position w:dxa="0" w:dya="0"/>
        <w:jc w:val="left"/>
      </w:bPr>
    </w:lvl>
    <w:lvl w:ilvl="7">
      <w:start w:val="1"/>
      <w:numFmt w:val="decimal"/>
      <w:suff w:val="tab"/>
      <w:lvlText w:val="%8."/>
      <w:lvlJc w:val="left"/>
      <w:addIndent w:val="5400"/>
      <w:bPr>
        <w:type w:val="num"/>
        <w:numType w:val="1"/>
        <w:position w:dxa="0" w:dya="0"/>
        <w:jc w:val="left"/>
      </w:bPr>
    </w:lvl>
    <w:lvl w:ilvl="8">
      <w:start w:val="1"/>
      <w:numFmt w:val="decimal"/>
      <w:suff w:val="tab"/>
      <w:lvlText w:val="%9."/>
      <w:lvlJc w:val="left"/>
      <w:addIndent w:val="6120"/>
      <w:bPr>
        <w:type w:val="num"/>
        <w:numType w:val="1"/>
        <w:position w:dxa="0" w:dya="0"/>
        <w:jc w:val="left"/>
      </w:bPr>
    </w:lvl>
  </w:abstractNum>
  <w:abstractNum w:abstractNumId="14">
    <w:multiLevelType w:val="hybridMultilevel"/>
    <w:name w:val="Нумерованный список 14"/>
    <w:lvl w:ilvl="0">
      <w:start w:val="1"/>
      <w:numFmt w:val="decimal"/>
      <w:suff w:val="tab"/>
      <w:lvlText w:val="%1."/>
      <w:lvlJc w:val="left"/>
      <w:addIndent w:val="567"/>
      <w:bPr>
        <w:type w:val="num"/>
        <w:numType w:val="1"/>
        <w:position w:dxa="0" w:dya="0"/>
        <w:jc w:val="left"/>
      </w:bPr>
    </w:lvl>
    <w:lvl w:ilvl="1">
      <w:start w:val="1"/>
      <w:numFmt w:val="lowerLetter"/>
      <w:suff w:val="tab"/>
      <w:lvlText w:val="%2."/>
      <w:lvlJc w:val="left"/>
      <w:addIndent w:val="1287"/>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2187"/>
      <w:bPr>
        <w:type w:val="num"/>
        <w:numType w:val="5"/>
        <w:position w:dxa="0" w:dya="0"/>
        <w:jc w:val="left"/>
      </w:bPr>
    </w:lvl>
    <w:lvl w:ilvl="3">
      <w:start w:val="1"/>
      <w:numFmt w:val="decimal"/>
      <w:suff w:val="tab"/>
      <w:lvlText w:val="%4."/>
      <w:lvlJc w:val="left"/>
      <w:addIndent w:val="2727"/>
      <w:bPr>
        <w:type w:val="num"/>
        <w:numType w:val="1"/>
        <w:position w:dxa="0" w:dya="0"/>
        <w:jc w:val="left"/>
      </w:bPr>
    </w:lvl>
    <w:lvl w:ilvl="4">
      <w:start w:val="1"/>
      <w:numFmt w:val="lowerLetter"/>
      <w:suff w:val="tab"/>
      <w:lvlText w:val="%5."/>
      <w:lvlJc w:val="left"/>
      <w:addIndent w:val="3447"/>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347"/>
      <w:bPr>
        <w:type w:val="num"/>
        <w:numType w:val="5"/>
        <w:position w:dxa="0" w:dya="0"/>
        <w:jc w:val="left"/>
      </w:bPr>
    </w:lvl>
    <w:lvl w:ilvl="6">
      <w:start w:val="1"/>
      <w:numFmt w:val="decimal"/>
      <w:suff w:val="tab"/>
      <w:lvlText w:val="%7."/>
      <w:lvlJc w:val="left"/>
      <w:addIndent w:val="4887"/>
      <w:bPr>
        <w:type w:val="num"/>
        <w:numType w:val="1"/>
        <w:position w:dxa="0" w:dya="0"/>
        <w:jc w:val="left"/>
      </w:bPr>
    </w:lvl>
    <w:lvl w:ilvl="7">
      <w:start w:val="1"/>
      <w:numFmt w:val="lowerLetter"/>
      <w:suff w:val="tab"/>
      <w:lvlText w:val="%8."/>
      <w:lvlJc w:val="left"/>
      <w:addIndent w:val="5607"/>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507"/>
      <w:bPr>
        <w:type w:val="num"/>
        <w:numType w:val="5"/>
        <w:position w:dxa="0" w:dya="0"/>
        <w:jc w:val="left"/>
      </w:bPr>
    </w:lvl>
  </w:abstractNum>
  <w:abstractNum w:abstractNumId="15">
    <w:multiLevelType w:val="hybridMultilevel"/>
    <w:name w:val="Нумерованный список 15"/>
    <w:lvl w:ilvl="0">
      <w:start w:val="1"/>
      <w:numFmt w:val="decimal"/>
      <w:suff w:val="tab"/>
      <w:lvlText w:val="%1."/>
      <w:lvlJc w:val="left"/>
      <w:addIndent w:val="360"/>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lvl>
  </w:abstractNum>
  <w:abstractNum w:abstractNumId="16">
    <w:multiLevelType w:val="hybridMultilevel"/>
    <w:name w:val="Нумерованный список 16"/>
    <w:lvl w:ilvl="0">
      <w:start w:val="1"/>
      <w:numFmt w:val="decimal"/>
      <w:suff w:val="tab"/>
      <w:lvlText w:val="%1."/>
      <w:lvlJc w:val="left"/>
      <w:addIndent w:val="927"/>
      <w:bPr>
        <w:type w:val="num"/>
        <w:numType w:val="1"/>
        <w:position w:dxa="0" w:dya="0"/>
        <w:jc w:val="left"/>
      </w:bPr>
    </w:lvl>
    <w:lvl w:ilvl="1">
      <w:start w:val="1"/>
      <w:numFmt w:val="lowerLetter"/>
      <w:suff w:val="tab"/>
      <w:lvlText w:val="%2."/>
      <w:lvlJc w:val="left"/>
      <w:addIndent w:val="1647"/>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2547"/>
      <w:bPr>
        <w:type w:val="num"/>
        <w:numType w:val="5"/>
        <w:position w:dxa="0" w:dya="0"/>
        <w:jc w:val="left"/>
      </w:bPr>
    </w:lvl>
    <w:lvl w:ilvl="3">
      <w:start w:val="1"/>
      <w:numFmt w:val="decimal"/>
      <w:suff w:val="tab"/>
      <w:lvlText w:val="%4."/>
      <w:lvlJc w:val="left"/>
      <w:addIndent w:val="3087"/>
      <w:bPr>
        <w:type w:val="num"/>
        <w:numType w:val="1"/>
        <w:position w:dxa="0" w:dya="0"/>
        <w:jc w:val="left"/>
      </w:bPr>
    </w:lvl>
    <w:lvl w:ilvl="4">
      <w:start w:val="1"/>
      <w:numFmt w:val="lowerLetter"/>
      <w:suff w:val="tab"/>
      <w:lvlText w:val="%5."/>
      <w:lvlJc w:val="left"/>
      <w:addIndent w:val="3807"/>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707"/>
      <w:bPr>
        <w:type w:val="num"/>
        <w:numType w:val="5"/>
        <w:position w:dxa="0" w:dya="0"/>
        <w:jc w:val="left"/>
      </w:bPr>
    </w:lvl>
    <w:lvl w:ilvl="6">
      <w:start w:val="1"/>
      <w:numFmt w:val="decimal"/>
      <w:suff w:val="tab"/>
      <w:lvlText w:val="%7."/>
      <w:lvlJc w:val="left"/>
      <w:addIndent w:val="5247"/>
      <w:bPr>
        <w:type w:val="num"/>
        <w:numType w:val="1"/>
        <w:position w:dxa="0" w:dya="0"/>
        <w:jc w:val="left"/>
      </w:bPr>
    </w:lvl>
    <w:lvl w:ilvl="7">
      <w:start w:val="1"/>
      <w:numFmt w:val="lowerLetter"/>
      <w:suff w:val="tab"/>
      <w:lvlText w:val="%8."/>
      <w:lvlJc w:val="left"/>
      <w:addIndent w:val="5967"/>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867"/>
      <w:bPr>
        <w:type w:val="num"/>
        <w:numType w:val="5"/>
        <w:position w:dxa="0" w:dya="0"/>
        <w:jc w:val="left"/>
      </w:bPr>
    </w:lvl>
  </w:abstractNum>
  <w:abstractNum w:abstractNumId="17">
    <w:multiLevelType w:val="hybridMultilevel"/>
    <w:name w:val="Нумерованный список 17"/>
    <w:lvl w:ilvl="0">
      <w:start w:val="1"/>
      <w:numFmt w:val="decimal"/>
      <w:suff w:val="tab"/>
      <w:lvlText w:val="%1."/>
      <w:lvlJc w:val="left"/>
      <w:addIndent w:val="0"/>
      <w:bPr>
        <w:type w:val="num"/>
        <w:numType w:val="1"/>
        <w:position w:dxa="0" w:dya="0"/>
        <w:jc w:val="left"/>
      </w:bPr>
    </w:lvl>
    <w:lvl w:ilvl="1">
      <w:start w:val="1"/>
      <w:numFmt w:val="lowerLetter"/>
      <w:suff w:val="tab"/>
      <w:lvlText w:val="%2."/>
      <w:lvlJc w:val="left"/>
      <w:addIndent w:val="72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620"/>
      <w:bPr>
        <w:type w:val="num"/>
        <w:numType w:val="5"/>
        <w:position w:dxa="0" w:dya="0"/>
        <w:jc w:val="left"/>
      </w:bPr>
    </w:lvl>
    <w:lvl w:ilvl="3">
      <w:start w:val="1"/>
      <w:numFmt w:val="decimal"/>
      <w:suff w:val="tab"/>
      <w:lvlText w:val="%4."/>
      <w:lvlJc w:val="left"/>
      <w:addIndent w:val="2160"/>
      <w:bPr>
        <w:type w:val="num"/>
        <w:numType w:val="1"/>
        <w:position w:dxa="0" w:dya="0"/>
        <w:jc w:val="left"/>
      </w:bPr>
    </w:lvl>
    <w:lvl w:ilvl="4">
      <w:start w:val="1"/>
      <w:numFmt w:val="lowerLetter"/>
      <w:suff w:val="tab"/>
      <w:lvlText w:val="%5."/>
      <w:lvlJc w:val="left"/>
      <w:addIndent w:val="288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3780"/>
      <w:bPr>
        <w:type w:val="num"/>
        <w:numType w:val="5"/>
        <w:position w:dxa="0" w:dya="0"/>
        <w:jc w:val="left"/>
      </w:bPr>
    </w:lvl>
    <w:lvl w:ilvl="6">
      <w:start w:val="1"/>
      <w:numFmt w:val="decimal"/>
      <w:suff w:val="tab"/>
      <w:lvlText w:val="%7."/>
      <w:lvlJc w:val="left"/>
      <w:addIndent w:val="4320"/>
      <w:bPr>
        <w:type w:val="num"/>
        <w:numType w:val="1"/>
        <w:position w:dxa="0" w:dya="0"/>
        <w:jc w:val="left"/>
      </w:bPr>
    </w:lvl>
    <w:lvl w:ilvl="7">
      <w:start w:val="1"/>
      <w:numFmt w:val="lowerLetter"/>
      <w:suff w:val="tab"/>
      <w:lvlText w:val="%8."/>
      <w:lvlJc w:val="left"/>
      <w:addIndent w:val="504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5940"/>
      <w:bPr>
        <w:type w:val="num"/>
        <w:numType w:val="5"/>
        <w:position w:dxa="0" w:dya="0"/>
        <w:jc w:val="left"/>
      </w:bPr>
    </w:lvl>
  </w:abstractNum>
  <w:abstractNum w:abstractNumId="18">
    <w:multiLevelType w:val="hybridMultilevel"/>
    <w:name w:val="Нумерованный список 18"/>
    <w:lvl w:ilvl="0">
      <w:start w:val="1"/>
      <w:numFmt w:val="decimal"/>
      <w:suff w:val="tab"/>
      <w:lvlText w:val="%1."/>
      <w:lvlJc w:val="left"/>
      <w:addIndent w:val="360"/>
      <w:bPr>
        <w:type w:val="num"/>
        <w:numType w:val="1"/>
        <w:position w:dxa="0" w:dya="0"/>
        <w:jc w:val="left"/>
      </w:bPr>
    </w:lvl>
    <w:lvl w:ilvl="1">
      <w:start w:val="1"/>
      <w:numFmt w:val="decimal"/>
      <w:suff w:val="tab"/>
      <w:lvlText w:val="%2."/>
      <w:lvlJc w:val="left"/>
      <w:addIndent w:val="1080"/>
      <w:bPr>
        <w:type w:val="num"/>
        <w:numType w:val="1"/>
        <w:position w:dxa="0" w:dya="0"/>
        <w:jc w:val="left"/>
      </w:bPr>
    </w:lvl>
    <w:lvl w:ilvl="2">
      <w:start w:val="1"/>
      <w:numFmt w:val="decimal"/>
      <w:suff w:val="tab"/>
      <w:lvlText w:val="%3."/>
      <w:lvlJc w:val="left"/>
      <w:addIndent w:val="1800"/>
      <w:bPr>
        <w:type w:val="num"/>
        <w:numType w:val="1"/>
        <w:position w:dxa="0" w:dya="0"/>
        <w:jc w:val="left"/>
      </w:bPr>
    </w:lvl>
    <w:lvl w:ilvl="3">
      <w:start w:val="1"/>
      <w:numFmt w:val="decimal"/>
      <w:suff w:val="tab"/>
      <w:lvlText w:val="%4."/>
      <w:lvlJc w:val="left"/>
      <w:addIndent w:val="2520"/>
      <w:bPr>
        <w:type w:val="num"/>
        <w:numType w:val="1"/>
        <w:position w:dxa="0" w:dya="0"/>
        <w:jc w:val="left"/>
      </w:bPr>
    </w:lvl>
    <w:lvl w:ilvl="4">
      <w:start w:val="1"/>
      <w:numFmt w:val="decimal"/>
      <w:suff w:val="tab"/>
      <w:lvlText w:val="%5."/>
      <w:lvlJc w:val="left"/>
      <w:addIndent w:val="3240"/>
      <w:bPr>
        <w:type w:val="num"/>
        <w:numType w:val="1"/>
        <w:position w:dxa="0" w:dya="0"/>
        <w:jc w:val="left"/>
      </w:bPr>
    </w:lvl>
    <w:lvl w:ilvl="5">
      <w:start w:val="1"/>
      <w:numFmt w:val="decimal"/>
      <w:suff w:val="tab"/>
      <w:lvlText w:val="%6."/>
      <w:lvlJc w:val="left"/>
      <w:addIndent w:val="3960"/>
      <w:bPr>
        <w:type w:val="num"/>
        <w:numType w:val="1"/>
        <w:position w:dxa="0" w:dya="0"/>
        <w:jc w:val="left"/>
      </w:bPr>
    </w:lvl>
    <w:lvl w:ilvl="6">
      <w:start w:val="1"/>
      <w:numFmt w:val="decimal"/>
      <w:suff w:val="tab"/>
      <w:lvlText w:val="%7."/>
      <w:lvlJc w:val="left"/>
      <w:addIndent w:val="4680"/>
      <w:bPr>
        <w:type w:val="num"/>
        <w:numType w:val="1"/>
        <w:position w:dxa="0" w:dya="0"/>
        <w:jc w:val="left"/>
      </w:bPr>
    </w:lvl>
    <w:lvl w:ilvl="7">
      <w:start w:val="1"/>
      <w:numFmt w:val="decimal"/>
      <w:suff w:val="tab"/>
      <w:lvlText w:val="%8."/>
      <w:lvlJc w:val="left"/>
      <w:addIndent w:val="5400"/>
      <w:bPr>
        <w:type w:val="num"/>
        <w:numType w:val="1"/>
        <w:position w:dxa="0" w:dya="0"/>
        <w:jc w:val="left"/>
      </w:bPr>
    </w:lvl>
    <w:lvl w:ilvl="8">
      <w:start w:val="1"/>
      <w:numFmt w:val="decimal"/>
      <w:suff w:val="tab"/>
      <w:lvlText w:val="%9."/>
      <w:lvlJc w:val="left"/>
      <w:addIndent w:val="6120"/>
      <w:bPr>
        <w:type w:val="num"/>
        <w:numType w:val="1"/>
        <w:position w:dxa="0" w:dya="0"/>
        <w:jc w:val="left"/>
      </w:bPr>
    </w:lvl>
  </w:abstractNum>
  <w:abstractNum w:abstractNumId="19">
    <w:multiLevelType w:val="hybridMultilevel"/>
    <w:name w:val="Нумерованный список 19"/>
    <w:lvl w:ilvl="0">
      <w:start w:val="1"/>
      <w:numFmt w:val="decimal"/>
      <w:suff w:val="tab"/>
      <w:lvlText w:val="%1."/>
      <w:lvlJc w:val="left"/>
      <w:addIndent w:val="567"/>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lvl>
  </w:abstractNum>
  <w:abstractNum w:abstractNumId="20">
    <w:multiLevelType w:val="hybridMultilevel"/>
    <w:name w:val="Нумерованный список 20"/>
    <w:lvl w:ilvl="0">
      <w:start w:val="1"/>
      <w:numFmt w:val="decimal"/>
      <w:suff w:val="tab"/>
      <w:lvlText w:val="%1."/>
      <w:lvlJc w:val="left"/>
      <w:addIndent w:val="1069"/>
      <w:bPr>
        <w:type w:val="num"/>
        <w:numType w:val="1"/>
        <w:position w:dxa="0" w:dya="0"/>
        <w:jc w:val="left"/>
      </w:bPr>
    </w:lvl>
    <w:lvl w:ilvl="1">
      <w:start w:val="1"/>
      <w:numFmt w:val="lowerLetter"/>
      <w:suff w:val="tab"/>
      <w:lvlText w:val="%2."/>
      <w:lvlJc w:val="left"/>
      <w:addIndent w:val="1789"/>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2689"/>
      <w:bPr>
        <w:type w:val="num"/>
        <w:numType w:val="5"/>
        <w:position w:dxa="0" w:dya="0"/>
        <w:jc w:val="left"/>
      </w:bPr>
    </w:lvl>
    <w:lvl w:ilvl="3">
      <w:start w:val="1"/>
      <w:numFmt w:val="decimal"/>
      <w:suff w:val="tab"/>
      <w:lvlText w:val="%4."/>
      <w:lvlJc w:val="left"/>
      <w:addIndent w:val="3229"/>
      <w:bPr>
        <w:type w:val="num"/>
        <w:numType w:val="1"/>
        <w:position w:dxa="0" w:dya="0"/>
        <w:jc w:val="left"/>
      </w:bPr>
    </w:lvl>
    <w:lvl w:ilvl="4">
      <w:start w:val="1"/>
      <w:numFmt w:val="lowerLetter"/>
      <w:suff w:val="tab"/>
      <w:lvlText w:val="%5."/>
      <w:lvlJc w:val="left"/>
      <w:addIndent w:val="3949"/>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849"/>
      <w:bPr>
        <w:type w:val="num"/>
        <w:numType w:val="5"/>
        <w:position w:dxa="0" w:dya="0"/>
        <w:jc w:val="left"/>
      </w:bPr>
    </w:lvl>
    <w:lvl w:ilvl="6">
      <w:start w:val="1"/>
      <w:numFmt w:val="decimal"/>
      <w:suff w:val="tab"/>
      <w:lvlText w:val="%7."/>
      <w:lvlJc w:val="left"/>
      <w:addIndent w:val="5389"/>
      <w:bPr>
        <w:type w:val="num"/>
        <w:numType w:val="1"/>
        <w:position w:dxa="0" w:dya="0"/>
        <w:jc w:val="left"/>
      </w:bPr>
    </w:lvl>
    <w:lvl w:ilvl="7">
      <w:start w:val="1"/>
      <w:numFmt w:val="lowerLetter"/>
      <w:suff w:val="tab"/>
      <w:lvlText w:val="%8."/>
      <w:lvlJc w:val="left"/>
      <w:addIndent w:val="6109"/>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7009"/>
      <w:bPr>
        <w:type w:val="num"/>
        <w:numType w:val="5"/>
        <w:position w:dxa="0" w:dya="0"/>
        <w:jc w:val="left"/>
      </w:bPr>
    </w:lvl>
  </w:abstractNum>
  <w:abstractNum w:abstractNumId="21">
    <w:multiLevelType w:val="hybridMultilevel"/>
    <w:name w:val="Нумерованный список 21"/>
    <w:lvl w:ilvl="0">
      <w:start w:val="1"/>
      <w:numFmt w:val="decimal"/>
      <w:suff w:val="tab"/>
      <w:lvlText w:val="%1."/>
      <w:lvlJc w:val="left"/>
      <w:addIndent w:val="0"/>
      <w:bPr>
        <w:type w:val="num"/>
        <w:numType w:val="1"/>
        <w:position w:dxa="0" w:dya="0"/>
        <w:jc w:val="left"/>
      </w:bPr>
    </w:lvl>
    <w:lvl w:ilvl="1">
      <w:start w:val="1"/>
      <w:numFmt w:val="lowerLetter"/>
      <w:suff w:val="tab"/>
      <w:lvlText w:val="%2."/>
      <w:lvlJc w:val="left"/>
      <w:addIndent w:val="72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620"/>
      <w:bPr>
        <w:type w:val="num"/>
        <w:numType w:val="5"/>
        <w:position w:dxa="0" w:dya="0"/>
        <w:jc w:val="left"/>
      </w:bPr>
    </w:lvl>
    <w:lvl w:ilvl="3">
      <w:start w:val="1"/>
      <w:numFmt w:val="decimal"/>
      <w:suff w:val="tab"/>
      <w:lvlText w:val="%4."/>
      <w:lvlJc w:val="left"/>
      <w:addIndent w:val="2160"/>
      <w:bPr>
        <w:type w:val="num"/>
        <w:numType w:val="1"/>
        <w:position w:dxa="0" w:dya="0"/>
        <w:jc w:val="left"/>
      </w:bPr>
    </w:lvl>
    <w:lvl w:ilvl="4">
      <w:start w:val="1"/>
      <w:numFmt w:val="lowerLetter"/>
      <w:suff w:val="tab"/>
      <w:lvlText w:val="%5."/>
      <w:lvlJc w:val="left"/>
      <w:addIndent w:val="288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3780"/>
      <w:bPr>
        <w:type w:val="num"/>
        <w:numType w:val="5"/>
        <w:position w:dxa="0" w:dya="0"/>
        <w:jc w:val="left"/>
      </w:bPr>
    </w:lvl>
    <w:lvl w:ilvl="6">
      <w:start w:val="1"/>
      <w:numFmt w:val="decimal"/>
      <w:suff w:val="tab"/>
      <w:lvlText w:val="%7."/>
      <w:lvlJc w:val="left"/>
      <w:addIndent w:val="4320"/>
      <w:bPr>
        <w:type w:val="num"/>
        <w:numType w:val="1"/>
        <w:position w:dxa="0" w:dya="0"/>
        <w:jc w:val="left"/>
      </w:bPr>
    </w:lvl>
    <w:lvl w:ilvl="7">
      <w:start w:val="1"/>
      <w:numFmt w:val="lowerLetter"/>
      <w:suff w:val="tab"/>
      <w:lvlText w:val="%8."/>
      <w:lvlJc w:val="left"/>
      <w:addIndent w:val="504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5940"/>
      <w:bPr>
        <w:type w:val="num"/>
        <w:numType w:val="5"/>
        <w:position w:dxa="0" w:dya="0"/>
        <w:jc w:val="left"/>
      </w:bPr>
    </w:lvl>
  </w:abstractNum>
  <w:abstractNum w:abstractNumId="22">
    <w:multiLevelType w:val="hybridMultilevel"/>
    <w:name w:val="Нумерованный список 22"/>
    <w:lvl w:ilvl="0">
      <w:numFmt w:val="bullet"/>
      <w:suff w:val="tab"/>
      <w:lvlText w:val="-"/>
      <w:lvlJc w:val="left"/>
      <w:addIndent w:val="360"/>
      <w:bPr>
        <w:type w:val="char"/>
        <w:bChar w:val="45"/>
        <w:position w:dxa="0" w:dya="0"/>
        <w:jc w:val="left"/>
      </w:bPr>
      <w:rPr>
        <w:rFonts w:ascii="Times New Roman" w:hAnsi="Times New Roman" w:eastAsia="Times New Roman" w:cs="Times New Roman"/>
      </w:rPr>
    </w:lvl>
    <w:lvl w:ilvl="1">
      <w:start w:val="1"/>
      <w:numFmt w:val="decimal"/>
      <w:suff w:val="tab"/>
      <w:lvlText w:val="%2."/>
      <w:lvlJc w:val="left"/>
      <w:addIndent w:val="1080"/>
      <w:bPr>
        <w:type w:val="num"/>
        <w:numType w:val="1"/>
        <w:position w:dxa="0" w:dya="0"/>
        <w:jc w:val="left"/>
      </w:bPr>
    </w:lvl>
    <w:lvl w:ilvl="2">
      <w:start w:val="1"/>
      <w:numFmt w:val="decimal"/>
      <w:suff w:val="tab"/>
      <w:lvlText w:val="%3."/>
      <w:lvlJc w:val="left"/>
      <w:addIndent w:val="1800"/>
      <w:bPr>
        <w:type w:val="num"/>
        <w:numType w:val="1"/>
        <w:position w:dxa="0" w:dya="0"/>
        <w:jc w:val="left"/>
      </w:bPr>
    </w:lvl>
    <w:lvl w:ilvl="3">
      <w:start w:val="1"/>
      <w:numFmt w:val="decimal"/>
      <w:suff w:val="tab"/>
      <w:lvlText w:val="%4."/>
      <w:lvlJc w:val="left"/>
      <w:addIndent w:val="2520"/>
      <w:bPr>
        <w:type w:val="num"/>
        <w:numType w:val="1"/>
        <w:position w:dxa="0" w:dya="0"/>
        <w:jc w:val="left"/>
      </w:bPr>
    </w:lvl>
    <w:lvl w:ilvl="4">
      <w:start w:val="1"/>
      <w:numFmt w:val="decimal"/>
      <w:suff w:val="tab"/>
      <w:lvlText w:val="%5."/>
      <w:lvlJc w:val="left"/>
      <w:addIndent w:val="3240"/>
      <w:bPr>
        <w:type w:val="num"/>
        <w:numType w:val="1"/>
        <w:position w:dxa="0" w:dya="0"/>
        <w:jc w:val="left"/>
      </w:bPr>
    </w:lvl>
    <w:lvl w:ilvl="5">
      <w:start w:val="1"/>
      <w:numFmt w:val="decimal"/>
      <w:suff w:val="tab"/>
      <w:lvlText w:val="%6."/>
      <w:lvlJc w:val="left"/>
      <w:addIndent w:val="3960"/>
      <w:bPr>
        <w:type w:val="num"/>
        <w:numType w:val="1"/>
        <w:position w:dxa="0" w:dya="0"/>
        <w:jc w:val="left"/>
      </w:bPr>
    </w:lvl>
    <w:lvl w:ilvl="6">
      <w:start w:val="1"/>
      <w:numFmt w:val="decimal"/>
      <w:suff w:val="tab"/>
      <w:lvlText w:val="%7."/>
      <w:lvlJc w:val="left"/>
      <w:addIndent w:val="4680"/>
      <w:bPr>
        <w:type w:val="num"/>
        <w:numType w:val="1"/>
        <w:position w:dxa="0" w:dya="0"/>
        <w:jc w:val="left"/>
      </w:bPr>
    </w:lvl>
    <w:lvl w:ilvl="7">
      <w:start w:val="1"/>
      <w:numFmt w:val="decimal"/>
      <w:suff w:val="tab"/>
      <w:lvlText w:val="%8."/>
      <w:lvlJc w:val="left"/>
      <w:addIndent w:val="5400"/>
      <w:bPr>
        <w:type w:val="num"/>
        <w:numType w:val="1"/>
        <w:position w:dxa="0" w:dya="0"/>
        <w:jc w:val="left"/>
      </w:bPr>
    </w:lvl>
    <w:lvl w:ilvl="8">
      <w:start w:val="1"/>
      <w:numFmt w:val="decimal"/>
      <w:suff w:val="tab"/>
      <w:lvlText w:val="%9."/>
      <w:lvlJc w:val="left"/>
      <w:addIndent w:val="6120"/>
      <w:bPr>
        <w:type w:val="num"/>
        <w:numType w:val="1"/>
        <w:position w:dxa="0" w:dya="0"/>
        <w:jc w:val="left"/>
      </w:bPr>
    </w:lvl>
  </w:abstractNum>
  <w:abstractNum w:abstractNumId="23">
    <w:multiLevelType w:val="hybridMultilevel"/>
    <w:name w:val="Нумерованный список 23"/>
    <w:lvl w:ilvl="0">
      <w:start w:val="1"/>
      <w:numFmt w:val="decimal"/>
      <w:suff w:val="tab"/>
      <w:lvlText w:val="%1."/>
      <w:lvlJc w:val="left"/>
      <w:addIndent w:val="360"/>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lvl>
  </w:abstractNum>
  <w:abstractNum w:abstractNumId="24">
    <w:multiLevelType w:val="hybridMultilevel"/>
    <w:name w:val="Нумерованный список 24"/>
    <w:lvl w:ilvl="0">
      <w:start w:val="1"/>
      <w:numFmt w:val="decimal"/>
      <w:suff w:val="tab"/>
      <w:lvlText w:val="%1."/>
      <w:lvlJc w:val="left"/>
      <w:addIndent w:val="360"/>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lvl>
  </w:abstractNum>
  <w:abstractNum w:abstractNumId="25">
    <w:multiLevelType w:val="hybridMultilevel"/>
    <w:name w:val="Нумерованный список 25"/>
    <w:lvl w:ilvl="0">
      <w:numFmt w:val="bullet"/>
      <w:suff w:val="tab"/>
      <w:lvlText w:val="·"/>
      <w:lvlJc w:val="left"/>
      <w:addIndent w:val="360"/>
      <w:bPr>
        <w:type w:val="char"/>
        <w:bChar w:val="183"/>
        <w:position w:dxa="0" w:dya="0"/>
        <w:jc w:val="left"/>
      </w:bPr>
      <w:rPr>
        <w:rFonts w:ascii="Symbol" w:hAnsi="Symbol"/>
      </w:rPr>
    </w:lvl>
    <w:lvl w:ilvl="1">
      <w:start w:val="1"/>
      <w:numFmt w:val="decimal"/>
      <w:suff w:val="tab"/>
      <w:lvlText w:val="%2."/>
      <w:lvlJc w:val="left"/>
      <w:addIndent w:val="1080"/>
      <w:bPr>
        <w:type w:val="num"/>
        <w:numType w:val="1"/>
        <w:position w:dxa="0" w:dya="0"/>
        <w:jc w:val="left"/>
      </w:bPr>
    </w:lvl>
    <w:lvl w:ilvl="2">
      <w:start w:val="1"/>
      <w:numFmt w:val="decimal"/>
      <w:suff w:val="tab"/>
      <w:lvlText w:val="%3."/>
      <w:lvlJc w:val="left"/>
      <w:addIndent w:val="1800"/>
      <w:bPr>
        <w:type w:val="num"/>
        <w:numType w:val="1"/>
        <w:position w:dxa="0" w:dya="0"/>
        <w:jc w:val="left"/>
      </w:bPr>
    </w:lvl>
    <w:lvl w:ilvl="3">
      <w:start w:val="1"/>
      <w:numFmt w:val="decimal"/>
      <w:suff w:val="tab"/>
      <w:lvlText w:val="%4."/>
      <w:lvlJc w:val="left"/>
      <w:addIndent w:val="2520"/>
      <w:bPr>
        <w:type w:val="num"/>
        <w:numType w:val="1"/>
        <w:position w:dxa="0" w:dya="0"/>
        <w:jc w:val="left"/>
      </w:bPr>
    </w:lvl>
    <w:lvl w:ilvl="4">
      <w:start w:val="1"/>
      <w:numFmt w:val="decimal"/>
      <w:suff w:val="tab"/>
      <w:lvlText w:val="%5."/>
      <w:lvlJc w:val="left"/>
      <w:addIndent w:val="3240"/>
      <w:bPr>
        <w:type w:val="num"/>
        <w:numType w:val="1"/>
        <w:position w:dxa="0" w:dya="0"/>
        <w:jc w:val="left"/>
      </w:bPr>
    </w:lvl>
    <w:lvl w:ilvl="5">
      <w:start w:val="1"/>
      <w:numFmt w:val="decimal"/>
      <w:suff w:val="tab"/>
      <w:lvlText w:val="%6."/>
      <w:lvlJc w:val="left"/>
      <w:addIndent w:val="3960"/>
      <w:bPr>
        <w:type w:val="num"/>
        <w:numType w:val="1"/>
        <w:position w:dxa="0" w:dya="0"/>
        <w:jc w:val="left"/>
      </w:bPr>
    </w:lvl>
    <w:lvl w:ilvl="6">
      <w:start w:val="1"/>
      <w:numFmt w:val="decimal"/>
      <w:suff w:val="tab"/>
      <w:lvlText w:val="%7."/>
      <w:lvlJc w:val="left"/>
      <w:addIndent w:val="4680"/>
      <w:bPr>
        <w:type w:val="num"/>
        <w:numType w:val="1"/>
        <w:position w:dxa="0" w:dya="0"/>
        <w:jc w:val="left"/>
      </w:bPr>
    </w:lvl>
    <w:lvl w:ilvl="7">
      <w:start w:val="1"/>
      <w:numFmt w:val="decimal"/>
      <w:suff w:val="tab"/>
      <w:lvlText w:val="%8."/>
      <w:lvlJc w:val="left"/>
      <w:addIndent w:val="5400"/>
      <w:bPr>
        <w:type w:val="num"/>
        <w:numType w:val="1"/>
        <w:position w:dxa="0" w:dya="0"/>
        <w:jc w:val="left"/>
      </w:bPr>
    </w:lvl>
    <w:lvl w:ilvl="8">
      <w:start w:val="1"/>
      <w:numFmt w:val="decimal"/>
      <w:suff w:val="tab"/>
      <w:lvlText w:val="%9."/>
      <w:lvlJc w:val="left"/>
      <w:addIndent w:val="6120"/>
      <w:bPr>
        <w:type w:val="num"/>
        <w:numType w:val="1"/>
        <w:position w:dxa="0" w:dya="0"/>
        <w:jc w:val="left"/>
      </w:bPr>
    </w:lvl>
  </w:abstractNum>
  <w:abstractNum w:abstractNumId="26">
    <w:multiLevelType w:val="hybridMultilevel"/>
    <w:name w:val="Нумерованный список 26"/>
    <w:lvl w:ilvl="0">
      <w:start w:val="1"/>
      <w:numFmt w:val="decimal"/>
      <w:suff w:val="tab"/>
      <w:lvlText w:val="%1."/>
      <w:lvlJc w:val="left"/>
      <w:addIndent w:val="348"/>
      <w:bPr>
        <w:type w:val="num"/>
        <w:numType w:val="1"/>
        <w:position w:dxa="0" w:dya="0"/>
        <w:jc w:val="left"/>
      </w:bPr>
    </w:lvl>
    <w:lvl w:ilvl="1">
      <w:start w:val="1"/>
      <w:numFmt w:val="decimal"/>
      <w:suff w:val="tab"/>
      <w:lvlText w:val="%2."/>
      <w:lvlJc w:val="left"/>
      <w:addIndent w:val="1080"/>
      <w:bPr>
        <w:type w:val="num"/>
        <w:numType w:val="1"/>
        <w:position w:dxa="0" w:dya="0"/>
        <w:jc w:val="left"/>
      </w:bPr>
    </w:lvl>
    <w:lvl w:ilvl="2">
      <w:start w:val="1"/>
      <w:numFmt w:val="decimal"/>
      <w:suff w:val="tab"/>
      <w:lvlText w:val="%3."/>
      <w:lvlJc w:val="left"/>
      <w:addIndent w:val="1800"/>
      <w:bPr>
        <w:type w:val="num"/>
        <w:numType w:val="1"/>
        <w:position w:dxa="0" w:dya="0"/>
        <w:jc w:val="left"/>
      </w:bPr>
    </w:lvl>
    <w:lvl w:ilvl="3">
      <w:start w:val="1"/>
      <w:numFmt w:val="decimal"/>
      <w:suff w:val="tab"/>
      <w:lvlText w:val="%4."/>
      <w:lvlJc w:val="left"/>
      <w:addIndent w:val="2520"/>
      <w:bPr>
        <w:type w:val="num"/>
        <w:numType w:val="1"/>
        <w:position w:dxa="0" w:dya="0"/>
        <w:jc w:val="left"/>
      </w:bPr>
    </w:lvl>
    <w:lvl w:ilvl="4">
      <w:start w:val="1"/>
      <w:numFmt w:val="decimal"/>
      <w:suff w:val="tab"/>
      <w:lvlText w:val="%5."/>
      <w:lvlJc w:val="left"/>
      <w:addIndent w:val="3240"/>
      <w:bPr>
        <w:type w:val="num"/>
        <w:numType w:val="1"/>
        <w:position w:dxa="0" w:dya="0"/>
        <w:jc w:val="left"/>
      </w:bPr>
    </w:lvl>
    <w:lvl w:ilvl="5">
      <w:start w:val="1"/>
      <w:numFmt w:val="decimal"/>
      <w:suff w:val="tab"/>
      <w:lvlText w:val="%6."/>
      <w:lvlJc w:val="left"/>
      <w:addIndent w:val="3960"/>
      <w:bPr>
        <w:type w:val="num"/>
        <w:numType w:val="1"/>
        <w:position w:dxa="0" w:dya="0"/>
        <w:jc w:val="left"/>
      </w:bPr>
    </w:lvl>
    <w:lvl w:ilvl="6">
      <w:start w:val="1"/>
      <w:numFmt w:val="decimal"/>
      <w:suff w:val="tab"/>
      <w:lvlText w:val="%7."/>
      <w:lvlJc w:val="left"/>
      <w:addIndent w:val="4680"/>
      <w:bPr>
        <w:type w:val="num"/>
        <w:numType w:val="1"/>
        <w:position w:dxa="0" w:dya="0"/>
        <w:jc w:val="left"/>
      </w:bPr>
    </w:lvl>
    <w:lvl w:ilvl="7">
      <w:start w:val="1"/>
      <w:numFmt w:val="decimal"/>
      <w:suff w:val="tab"/>
      <w:lvlText w:val="%8."/>
      <w:lvlJc w:val="left"/>
      <w:addIndent w:val="5400"/>
      <w:bPr>
        <w:type w:val="num"/>
        <w:numType w:val="1"/>
        <w:position w:dxa="0" w:dya="0"/>
        <w:jc w:val="left"/>
      </w:bPr>
    </w:lvl>
    <w:lvl w:ilvl="8">
      <w:start w:val="1"/>
      <w:numFmt w:val="decimal"/>
      <w:suff w:val="tab"/>
      <w:lvlText w:val="%9."/>
      <w:lvlJc w:val="left"/>
      <w:addIndent w:val="6120"/>
      <w:bPr>
        <w:type w:val="num"/>
        <w:numType w:val="1"/>
        <w:position w:dxa="0" w:dya="0"/>
        <w:jc w:val="left"/>
      </w:bPr>
    </w:lvl>
  </w:abstractNum>
  <w:abstractNum w:abstractNumId="27">
    <w:multiLevelType w:val="hybridMultilevel"/>
    <w:name w:val="Нумерованный список 27"/>
    <w:lvl w:ilvl="0">
      <w:start w:val="1"/>
      <w:numFmt w:val="decimal"/>
      <w:suff w:val="tab"/>
      <w:lvlText w:val="%1."/>
      <w:lvlJc w:val="left"/>
      <w:addIndent w:val="567"/>
      <w:bPr>
        <w:type w:val="num"/>
        <w:numType w:val="1"/>
        <w:position w:dxa="0" w:dya="0"/>
        <w:jc w:val="left"/>
      </w:bPr>
    </w:lvl>
    <w:lvl w:ilvl="1">
      <w:start w:val="1"/>
      <w:numFmt w:val="lowerLetter"/>
      <w:suff w:val="tab"/>
      <w:lvlText w:val="%2."/>
      <w:lvlJc w:val="left"/>
      <w:addIndent w:val="1287"/>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2187"/>
      <w:bPr>
        <w:type w:val="num"/>
        <w:numType w:val="5"/>
        <w:position w:dxa="0" w:dya="0"/>
        <w:jc w:val="left"/>
      </w:bPr>
    </w:lvl>
    <w:lvl w:ilvl="3">
      <w:start w:val="1"/>
      <w:numFmt w:val="decimal"/>
      <w:suff w:val="tab"/>
      <w:lvlText w:val="%4."/>
      <w:lvlJc w:val="left"/>
      <w:addIndent w:val="2727"/>
      <w:bPr>
        <w:type w:val="num"/>
        <w:numType w:val="1"/>
        <w:position w:dxa="0" w:dya="0"/>
        <w:jc w:val="left"/>
      </w:bPr>
    </w:lvl>
    <w:lvl w:ilvl="4">
      <w:start w:val="1"/>
      <w:numFmt w:val="lowerLetter"/>
      <w:suff w:val="tab"/>
      <w:lvlText w:val="%5."/>
      <w:lvlJc w:val="left"/>
      <w:addIndent w:val="3447"/>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347"/>
      <w:bPr>
        <w:type w:val="num"/>
        <w:numType w:val="5"/>
        <w:position w:dxa="0" w:dya="0"/>
        <w:jc w:val="left"/>
      </w:bPr>
    </w:lvl>
    <w:lvl w:ilvl="6">
      <w:start w:val="1"/>
      <w:numFmt w:val="decimal"/>
      <w:suff w:val="tab"/>
      <w:lvlText w:val="%7."/>
      <w:lvlJc w:val="left"/>
      <w:addIndent w:val="4887"/>
      <w:bPr>
        <w:type w:val="num"/>
        <w:numType w:val="1"/>
        <w:position w:dxa="0" w:dya="0"/>
        <w:jc w:val="left"/>
      </w:bPr>
    </w:lvl>
    <w:lvl w:ilvl="7">
      <w:start w:val="1"/>
      <w:numFmt w:val="lowerLetter"/>
      <w:suff w:val="tab"/>
      <w:lvlText w:val="%8."/>
      <w:lvlJc w:val="left"/>
      <w:addIndent w:val="5607"/>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507"/>
      <w:bPr>
        <w:type w:val="num"/>
        <w:numType w:val="5"/>
        <w:position w:dxa="0" w:dya="0"/>
        <w:jc w:val="left"/>
      </w:bPr>
    </w:lvl>
  </w:abstractNum>
  <w:abstractNum w:abstractNumId="28">
    <w:multiLevelType w:val="hybridMultilevel"/>
    <w:name w:val="Нумерованный список 28"/>
    <w:lvl w:ilvl="0">
      <w:start w:val="1"/>
      <w:numFmt w:val="decimal"/>
      <w:suff w:val="tab"/>
      <w:lvlText w:val="%1."/>
      <w:lvlJc w:val="left"/>
      <w:addIndent w:val="360"/>
      <w:bPr>
        <w:type w:val="num"/>
        <w:numType w:val="1"/>
        <w:position w:dxa="0" w:dya="0"/>
        <w:jc w:val="left"/>
      </w:bPr>
      <w:rPr>
        <w:rFonts w:ascii="Times New Roman" w:hAnsi="Times New Roman" w:cs="Times New Roman"/>
        <w:color w:val="auto"/>
        <w:sz w:val="28"/>
        <w:szCs w:val="28"/>
      </w:rPr>
    </w:lvl>
    <w:lvl w:ilvl="1">
      <w:start w:val="1"/>
      <w:numFmt w:val="decimal"/>
      <w:suff w:val="tab"/>
      <w:lvlText w:val="%2."/>
      <w:lvlJc w:val="left"/>
      <w:addIndent w:val="1080"/>
      <w:bPr>
        <w:type w:val="num"/>
        <w:numType w:val="1"/>
        <w:position w:dxa="0" w:dya="0"/>
        <w:jc w:val="left"/>
      </w:bPr>
      <w:rPr>
        <w:rFonts w:cs="Times New Roman"/>
      </w:rPr>
    </w:lvl>
    <w:lvl w:ilvl="2">
      <w:start w:val="1"/>
      <w:numFmt w:val="decimal"/>
      <w:suff w:val="tab"/>
      <w:lvlText w:val="%3."/>
      <w:lvlJc w:val="left"/>
      <w:addIndent w:val="1800"/>
      <w:bPr>
        <w:type w:val="num"/>
        <w:numType w:val="1"/>
        <w:position w:dxa="0" w:dya="0"/>
        <w:jc w:val="left"/>
      </w:bPr>
      <w:rPr>
        <w:rFonts w:cs="Times New Roman"/>
      </w:rPr>
    </w:lvl>
    <w:lvl w:ilvl="3">
      <w:start w:val="1"/>
      <w:numFmt w:val="decimal"/>
      <w:suff w:val="tab"/>
      <w:lvlText w:val="%4."/>
      <w:lvlJc w:val="left"/>
      <w:addIndent w:val="2520"/>
      <w:bPr>
        <w:type w:val="num"/>
        <w:numType w:val="1"/>
        <w:position w:dxa="0" w:dya="0"/>
        <w:jc w:val="left"/>
      </w:bPr>
      <w:rPr>
        <w:rFonts w:cs="Times New Roman"/>
      </w:rPr>
    </w:lvl>
    <w:lvl w:ilvl="4">
      <w:start w:val="1"/>
      <w:numFmt w:val="decimal"/>
      <w:suff w:val="tab"/>
      <w:lvlText w:val="%5."/>
      <w:lvlJc w:val="left"/>
      <w:addIndent w:val="3240"/>
      <w:bPr>
        <w:type w:val="num"/>
        <w:numType w:val="1"/>
        <w:position w:dxa="0" w:dya="0"/>
        <w:jc w:val="left"/>
      </w:bPr>
      <w:rPr>
        <w:rFonts w:cs="Times New Roman"/>
      </w:rPr>
    </w:lvl>
    <w:lvl w:ilvl="5">
      <w:start w:val="1"/>
      <w:numFmt w:val="decimal"/>
      <w:suff w:val="tab"/>
      <w:lvlText w:val="%6."/>
      <w:lvlJc w:val="left"/>
      <w:addIndent w:val="3960"/>
      <w:bPr>
        <w:type w:val="num"/>
        <w:numType w:val="1"/>
        <w:position w:dxa="0" w:dya="0"/>
        <w:jc w:val="left"/>
      </w:bPr>
      <w:rPr>
        <w:rFonts w:cs="Times New Roman"/>
      </w:rPr>
    </w:lvl>
    <w:lvl w:ilvl="6">
      <w:start w:val="1"/>
      <w:numFmt w:val="decimal"/>
      <w:suff w:val="tab"/>
      <w:lvlText w:val="%7."/>
      <w:lvlJc w:val="left"/>
      <w:addIndent w:val="4680"/>
      <w:bPr>
        <w:type w:val="num"/>
        <w:numType w:val="1"/>
        <w:position w:dxa="0" w:dya="0"/>
        <w:jc w:val="left"/>
      </w:bPr>
      <w:rPr>
        <w:rFonts w:cs="Times New Roman"/>
      </w:rPr>
    </w:lvl>
    <w:lvl w:ilvl="7">
      <w:start w:val="1"/>
      <w:numFmt w:val="decimal"/>
      <w:suff w:val="tab"/>
      <w:lvlText w:val="%8."/>
      <w:lvlJc w:val="left"/>
      <w:addIndent w:val="5400"/>
      <w:bPr>
        <w:type w:val="num"/>
        <w:numType w:val="1"/>
        <w:position w:dxa="0" w:dya="0"/>
        <w:jc w:val="left"/>
      </w:bPr>
      <w:rPr>
        <w:rFonts w:cs="Times New Roman"/>
      </w:rPr>
    </w:lvl>
    <w:lvl w:ilvl="8">
      <w:start w:val="1"/>
      <w:numFmt w:val="decimal"/>
      <w:suff w:val="tab"/>
      <w:lvlText w:val="%9."/>
      <w:lvlJc w:val="left"/>
      <w:addIndent w:val="6120"/>
      <w:bPr>
        <w:type w:val="num"/>
        <w:numType w:val="1"/>
        <w:position w:dxa="0" w:dya="0"/>
        <w:jc w:val="left"/>
      </w:bPr>
      <w:rPr>
        <w:rFonts w:cs="Times New Roman"/>
      </w:rPr>
    </w:lvl>
  </w:abstractNum>
  <w:abstractNum w:abstractNumId="29">
    <w:multiLevelType w:val="hybridMultilevel"/>
    <w:name w:val="Нумерованный список 29"/>
    <w:lvl w:ilvl="0">
      <w:numFmt w:val="bullet"/>
      <w:suff w:val="tab"/>
      <w:lvlText w:val="·"/>
      <w:lvlJc w:val="left"/>
      <w:addIndent w:val="360"/>
      <w:bPr>
        <w:type w:val="char"/>
        <w:bChar w:val="183"/>
        <w:position w:dxa="0" w:dya="0"/>
        <w:jc w:val="left"/>
      </w:bPr>
      <w:rPr>
        <w:rFonts w:ascii="Symbol" w:hAnsi="Symbol"/>
        <w:sz w:val="20"/>
      </w:rPr>
    </w:lvl>
    <w:lvl w:ilvl="1">
      <w:numFmt w:val="bullet"/>
      <w:suff w:val="tab"/>
      <w:lvlText w:val="o"/>
      <w:lvlJc w:val="left"/>
      <w:addIndent w:val="1080"/>
      <w:bPr>
        <w:type w:val="char"/>
        <w:bChar w:val="111"/>
        <w:position w:dxa="0" w:dya="0"/>
        <w:jc w:val="left"/>
      </w:bPr>
      <w:rPr>
        <w:rFonts w:ascii="Courier New" w:hAnsi="Courier New"/>
        <w:sz w:val="20"/>
      </w:rPr>
    </w:lvl>
    <w:lvl w:ilvl="2">
      <w:numFmt w:val="bullet"/>
      <w:suff w:val="tab"/>
      <w:lvlText w:val=""/>
      <w:lvlJc w:val="left"/>
      <w:addIndent w:val="1800"/>
      <w:bPr>
        <w:type w:val="rect"/>
        <w:position w:dxa="0" w:dya="0"/>
        <w:jc w:val="left"/>
      </w:bPr>
      <w:rPr>
        <w:rFonts w:ascii="Wingdings" w:hAnsi="Wingdings" w:eastAsia="Wingdings" w:cs="Wingdings"/>
        <w:sz w:val="20"/>
      </w:rPr>
    </w:lvl>
    <w:lvl w:ilvl="3">
      <w:numFmt w:val="bullet"/>
      <w:suff w:val="tab"/>
      <w:lvlText w:val=""/>
      <w:lvlJc w:val="left"/>
      <w:addIndent w:val="2520"/>
      <w:bPr>
        <w:type w:val="rect"/>
        <w:position w:dxa="0" w:dya="0"/>
        <w:jc w:val="left"/>
      </w:bPr>
      <w:rPr>
        <w:rFonts w:ascii="Wingdings" w:hAnsi="Wingdings" w:eastAsia="Wingdings" w:cs="Wingdings"/>
        <w:sz w:val="20"/>
      </w:rPr>
    </w:lvl>
    <w:lvl w:ilvl="4">
      <w:numFmt w:val="bullet"/>
      <w:suff w:val="tab"/>
      <w:lvlText w:val=""/>
      <w:lvlJc w:val="left"/>
      <w:addIndent w:val="3240"/>
      <w:bPr>
        <w:type w:val="rect"/>
        <w:position w:dxa="0" w:dya="0"/>
        <w:jc w:val="left"/>
      </w:bPr>
      <w:rPr>
        <w:rFonts w:ascii="Wingdings" w:hAnsi="Wingdings" w:eastAsia="Wingdings" w:cs="Wingdings"/>
        <w:sz w:val="20"/>
      </w:rPr>
    </w:lvl>
    <w:lvl w:ilvl="5">
      <w:numFmt w:val="bullet"/>
      <w:suff w:val="tab"/>
      <w:lvlText w:val=""/>
      <w:lvlJc w:val="left"/>
      <w:addIndent w:val="3960"/>
      <w:bPr>
        <w:type w:val="rect"/>
        <w:position w:dxa="0" w:dya="0"/>
        <w:jc w:val="left"/>
      </w:bPr>
      <w:rPr>
        <w:rFonts w:ascii="Wingdings" w:hAnsi="Wingdings" w:eastAsia="Wingdings" w:cs="Wingdings"/>
        <w:sz w:val="20"/>
      </w:rPr>
    </w:lvl>
    <w:lvl w:ilvl="6">
      <w:numFmt w:val="bullet"/>
      <w:suff w:val="tab"/>
      <w:lvlText w:val=""/>
      <w:lvlJc w:val="left"/>
      <w:addIndent w:val="4680"/>
      <w:bPr>
        <w:type w:val="rect"/>
        <w:position w:dxa="0" w:dya="0"/>
        <w:jc w:val="left"/>
      </w:bPr>
      <w:rPr>
        <w:rFonts w:ascii="Wingdings" w:hAnsi="Wingdings" w:eastAsia="Wingdings" w:cs="Wingdings"/>
        <w:sz w:val="20"/>
      </w:rPr>
    </w:lvl>
    <w:lvl w:ilvl="7">
      <w:numFmt w:val="bullet"/>
      <w:suff w:val="tab"/>
      <w:lvlText w:val=""/>
      <w:lvlJc w:val="left"/>
      <w:addIndent w:val="5400"/>
      <w:bPr>
        <w:type w:val="rect"/>
        <w:position w:dxa="0" w:dya="0"/>
        <w:jc w:val="left"/>
      </w:bPr>
      <w:rPr>
        <w:rFonts w:ascii="Wingdings" w:hAnsi="Wingdings" w:eastAsia="Wingdings" w:cs="Wingdings"/>
        <w:sz w:val="20"/>
      </w:rPr>
    </w:lvl>
    <w:lvl w:ilvl="8">
      <w:numFmt w:val="bullet"/>
      <w:suff w:val="tab"/>
      <w:lvlText w:val=""/>
      <w:lvlJc w:val="left"/>
      <w:addIndent w:val="6120"/>
      <w:bPr>
        <w:type w:val="rect"/>
        <w:position w:dxa="0" w:dya="0"/>
        <w:jc w:val="left"/>
      </w:bPr>
      <w:rPr>
        <w:rFonts w:ascii="Wingdings" w:hAnsi="Wingdings" w:eastAsia="Wingdings" w:cs="Wingdings"/>
        <w:sz w:val="20"/>
      </w:rPr>
    </w:lvl>
  </w:abstractNum>
  <w:abstractNum w:abstractNumId="30">
    <w:multiLevelType w:val="hybridMultilevel"/>
    <w:name w:val="Нумерованный список 30"/>
    <w:lvl w:ilvl="0">
      <w:start w:val="1"/>
      <w:numFmt w:val="decimal"/>
      <w:suff w:val="tab"/>
      <w:lvlText w:val="%1."/>
      <w:lvlJc w:val="left"/>
      <w:addIndent w:val="360"/>
      <w:bPr>
        <w:type w:val="num"/>
        <w:numType w:val="1"/>
        <w:position w:dxa="0" w:dya="0"/>
        <w:jc w:val="left"/>
      </w:bPr>
    </w:lvl>
    <w:lvl w:ilvl="1">
      <w:start w:val="1"/>
      <w:numFmt w:val="decimal"/>
      <w:suff w:val="tab"/>
      <w:lvlText w:val="%2."/>
      <w:lvlJc w:val="left"/>
      <w:addIndent w:val="1080"/>
      <w:bPr>
        <w:type w:val="num"/>
        <w:numType w:val="1"/>
        <w:position w:dxa="0" w:dya="0"/>
        <w:jc w:val="left"/>
      </w:bPr>
    </w:lvl>
    <w:lvl w:ilvl="2">
      <w:start w:val="1"/>
      <w:numFmt w:val="decimal"/>
      <w:suff w:val="tab"/>
      <w:lvlText w:val="%3."/>
      <w:lvlJc w:val="left"/>
      <w:addIndent w:val="1800"/>
      <w:bPr>
        <w:type w:val="num"/>
        <w:numType w:val="1"/>
        <w:position w:dxa="0" w:dya="0"/>
        <w:jc w:val="left"/>
      </w:bPr>
    </w:lvl>
    <w:lvl w:ilvl="3">
      <w:start w:val="1"/>
      <w:numFmt w:val="decimal"/>
      <w:suff w:val="tab"/>
      <w:lvlText w:val="%4."/>
      <w:lvlJc w:val="left"/>
      <w:addIndent w:val="2520"/>
      <w:bPr>
        <w:type w:val="num"/>
        <w:numType w:val="1"/>
        <w:position w:dxa="0" w:dya="0"/>
        <w:jc w:val="left"/>
      </w:bPr>
    </w:lvl>
    <w:lvl w:ilvl="4">
      <w:start w:val="1"/>
      <w:numFmt w:val="decimal"/>
      <w:suff w:val="tab"/>
      <w:lvlText w:val="%5."/>
      <w:lvlJc w:val="left"/>
      <w:addIndent w:val="3240"/>
      <w:bPr>
        <w:type w:val="num"/>
        <w:numType w:val="1"/>
        <w:position w:dxa="0" w:dya="0"/>
        <w:jc w:val="left"/>
      </w:bPr>
    </w:lvl>
    <w:lvl w:ilvl="5">
      <w:start w:val="1"/>
      <w:numFmt w:val="decimal"/>
      <w:suff w:val="tab"/>
      <w:lvlText w:val="%6."/>
      <w:lvlJc w:val="left"/>
      <w:addIndent w:val="3960"/>
      <w:bPr>
        <w:type w:val="num"/>
        <w:numType w:val="1"/>
        <w:position w:dxa="0" w:dya="0"/>
        <w:jc w:val="left"/>
      </w:bPr>
    </w:lvl>
    <w:lvl w:ilvl="6">
      <w:start w:val="1"/>
      <w:numFmt w:val="decimal"/>
      <w:suff w:val="tab"/>
      <w:lvlText w:val="%7."/>
      <w:lvlJc w:val="left"/>
      <w:addIndent w:val="4680"/>
      <w:bPr>
        <w:type w:val="num"/>
        <w:numType w:val="1"/>
        <w:position w:dxa="0" w:dya="0"/>
        <w:jc w:val="left"/>
      </w:bPr>
    </w:lvl>
    <w:lvl w:ilvl="7">
      <w:start w:val="1"/>
      <w:numFmt w:val="decimal"/>
      <w:suff w:val="tab"/>
      <w:lvlText w:val="%8."/>
      <w:lvlJc w:val="left"/>
      <w:addIndent w:val="5400"/>
      <w:bPr>
        <w:type w:val="num"/>
        <w:numType w:val="1"/>
        <w:position w:dxa="0" w:dya="0"/>
        <w:jc w:val="left"/>
      </w:bPr>
    </w:lvl>
    <w:lvl w:ilvl="8">
      <w:start w:val="1"/>
      <w:numFmt w:val="decimal"/>
      <w:suff w:val="tab"/>
      <w:lvlText w:val="%9."/>
      <w:lvlJc w:val="left"/>
      <w:addIndent w:val="6120"/>
      <w:bPr>
        <w:type w:val="num"/>
        <w:numType w:val="1"/>
        <w:position w:dxa="0" w:dya="0"/>
        <w:jc w:val="left"/>
      </w:bPr>
    </w:lvl>
  </w:abstractNum>
  <w:abstractNum w:abstractNumId="31">
    <w:multiLevelType w:val="hybridMultilevel"/>
    <w:name w:val="Нумерованный список 31"/>
    <w:lvl w:ilvl="0">
      <w:numFmt w:val="bullet"/>
      <w:suff w:val="tab"/>
      <w:lvlText w:val="-"/>
      <w:lvlJc w:val="left"/>
      <w:addIndent w:val="927"/>
      <w:bPr>
        <w:type w:val="char"/>
        <w:bChar w:val="45"/>
        <w:position w:dxa="0" w:dya="0"/>
        <w:jc w:val="left"/>
      </w:bPr>
      <w:rPr>
        <w:rFonts w:ascii="Andalus" w:hAnsi="Andalus"/>
      </w:rPr>
    </w:lvl>
    <w:lvl w:ilvl="1">
      <w:numFmt w:val="bullet"/>
      <w:suff w:val="tab"/>
      <w:lvlText w:val="o"/>
      <w:lvlJc w:val="left"/>
      <w:addIndent w:val="1647"/>
      <w:bPr>
        <w:type w:val="char"/>
        <w:bChar w:val="111"/>
        <w:position w:dxa="0" w:dya="0"/>
        <w:jc w:val="left"/>
      </w:bPr>
      <w:rPr>
        <w:rFonts w:ascii="Courier New" w:hAnsi="Courier New" w:cs="Courier New"/>
      </w:rPr>
    </w:lvl>
    <w:lvl w:ilvl="2">
      <w:numFmt w:val="bullet"/>
      <w:suff w:val="tab"/>
      <w:lvlText w:val=""/>
      <w:lvlJc w:val="left"/>
      <w:addIndent w:val="2367"/>
      <w:bPr>
        <w:type w:val="rect"/>
        <w:position w:dxa="0" w:dya="0"/>
        <w:jc w:val="left"/>
      </w:bPr>
      <w:rPr>
        <w:rFonts w:ascii="Wingdings" w:hAnsi="Wingdings" w:eastAsia="Wingdings" w:cs="Wingdings"/>
      </w:rPr>
    </w:lvl>
    <w:lvl w:ilvl="3">
      <w:numFmt w:val="bullet"/>
      <w:suff w:val="tab"/>
      <w:lvlText w:val="·"/>
      <w:lvlJc w:val="left"/>
      <w:addIndent w:val="3087"/>
      <w:bPr>
        <w:type w:val="char"/>
        <w:bChar w:val="183"/>
        <w:position w:dxa="0" w:dya="0"/>
        <w:jc w:val="left"/>
      </w:bPr>
      <w:rPr>
        <w:rFonts w:ascii="Symbol" w:hAnsi="Symbol"/>
      </w:rPr>
    </w:lvl>
    <w:lvl w:ilvl="4">
      <w:numFmt w:val="bullet"/>
      <w:suff w:val="tab"/>
      <w:lvlText w:val="o"/>
      <w:lvlJc w:val="left"/>
      <w:addIndent w:val="3807"/>
      <w:bPr>
        <w:type w:val="char"/>
        <w:bChar w:val="111"/>
        <w:position w:dxa="0" w:dya="0"/>
        <w:jc w:val="left"/>
      </w:bPr>
      <w:rPr>
        <w:rFonts w:ascii="Courier New" w:hAnsi="Courier New" w:cs="Courier New"/>
      </w:rPr>
    </w:lvl>
    <w:lvl w:ilvl="5">
      <w:numFmt w:val="bullet"/>
      <w:suff w:val="tab"/>
      <w:lvlText w:val=""/>
      <w:lvlJc w:val="left"/>
      <w:addIndent w:val="4527"/>
      <w:bPr>
        <w:type w:val="rect"/>
        <w:position w:dxa="0" w:dya="0"/>
        <w:jc w:val="left"/>
      </w:bPr>
      <w:rPr>
        <w:rFonts w:ascii="Wingdings" w:hAnsi="Wingdings" w:eastAsia="Wingdings" w:cs="Wingdings"/>
      </w:rPr>
    </w:lvl>
    <w:lvl w:ilvl="6">
      <w:numFmt w:val="bullet"/>
      <w:suff w:val="tab"/>
      <w:lvlText w:val="·"/>
      <w:lvlJc w:val="left"/>
      <w:addIndent w:val="5247"/>
      <w:bPr>
        <w:type w:val="char"/>
        <w:bChar w:val="183"/>
        <w:position w:dxa="0" w:dya="0"/>
        <w:jc w:val="left"/>
      </w:bPr>
      <w:rPr>
        <w:rFonts w:ascii="Symbol" w:hAnsi="Symbol"/>
      </w:rPr>
    </w:lvl>
    <w:lvl w:ilvl="7">
      <w:numFmt w:val="bullet"/>
      <w:suff w:val="tab"/>
      <w:lvlText w:val="o"/>
      <w:lvlJc w:val="left"/>
      <w:addIndent w:val="5967"/>
      <w:bPr>
        <w:type w:val="char"/>
        <w:bChar w:val="111"/>
        <w:position w:dxa="0" w:dya="0"/>
        <w:jc w:val="left"/>
      </w:bPr>
      <w:rPr>
        <w:rFonts w:ascii="Courier New" w:hAnsi="Courier New" w:cs="Courier New"/>
      </w:rPr>
    </w:lvl>
    <w:lvl w:ilvl="8">
      <w:numFmt w:val="bullet"/>
      <w:suff w:val="tab"/>
      <w:lvlText w:val=""/>
      <w:lvlJc w:val="left"/>
      <w:addIndent w:val="6687"/>
      <w:bPr>
        <w:type w:val="rect"/>
        <w:position w:dxa="0" w:dya="0"/>
        <w:jc w:val="left"/>
      </w:bPr>
      <w:rPr>
        <w:rFonts w:ascii="Wingdings" w:hAnsi="Wingdings" w:eastAsia="Wingdings" w:cs="Wingdings"/>
      </w:rPr>
    </w:lvl>
  </w:abstractNum>
  <w:abstractNum w:abstractNumId="32">
    <w:multiLevelType w:val="hybridMultilevel"/>
    <w:name w:val="Нумерованный список 32"/>
    <w:lvl w:ilvl="0">
      <w:numFmt w:val="bullet"/>
      <w:suff w:val="tab"/>
      <w:lvlText w:val="-"/>
      <w:lvlJc w:val="left"/>
      <w:addIndent w:val="360"/>
      <w:bPr>
        <w:type w:val="char"/>
        <w:bChar w:val="45"/>
        <w:position w:dxa="0" w:dya="0"/>
        <w:jc w:val="left"/>
      </w:bPr>
      <w:rPr>
        <w:rFonts w:ascii="Times New Roman" w:hAnsi="Times New Roman" w:eastAsia="Times New Roman" w:cs="Times New Roman"/>
      </w:rPr>
    </w:lvl>
    <w:lvl w:ilvl="1">
      <w:start w:val="1"/>
      <w:numFmt w:val="decimal"/>
      <w:suff w:val="tab"/>
      <w:lvlText w:val="%2."/>
      <w:lvlJc w:val="left"/>
      <w:addIndent w:val="1080"/>
      <w:bPr>
        <w:type w:val="num"/>
        <w:numType w:val="1"/>
        <w:position w:dxa="0" w:dya="0"/>
        <w:jc w:val="left"/>
      </w:bPr>
    </w:lvl>
    <w:lvl w:ilvl="2">
      <w:start w:val="1"/>
      <w:numFmt w:val="decimal"/>
      <w:suff w:val="tab"/>
      <w:lvlText w:val="%3."/>
      <w:lvlJc w:val="left"/>
      <w:addIndent w:val="1800"/>
      <w:bPr>
        <w:type w:val="num"/>
        <w:numType w:val="1"/>
        <w:position w:dxa="0" w:dya="0"/>
        <w:jc w:val="left"/>
      </w:bPr>
    </w:lvl>
    <w:lvl w:ilvl="3">
      <w:start w:val="1"/>
      <w:numFmt w:val="decimal"/>
      <w:suff w:val="tab"/>
      <w:lvlText w:val="%4."/>
      <w:lvlJc w:val="left"/>
      <w:addIndent w:val="2520"/>
      <w:bPr>
        <w:type w:val="num"/>
        <w:numType w:val="1"/>
        <w:position w:dxa="0" w:dya="0"/>
        <w:jc w:val="left"/>
      </w:bPr>
    </w:lvl>
    <w:lvl w:ilvl="4">
      <w:start w:val="1"/>
      <w:numFmt w:val="decimal"/>
      <w:suff w:val="tab"/>
      <w:lvlText w:val="%5."/>
      <w:lvlJc w:val="left"/>
      <w:addIndent w:val="3240"/>
      <w:bPr>
        <w:type w:val="num"/>
        <w:numType w:val="1"/>
        <w:position w:dxa="0" w:dya="0"/>
        <w:jc w:val="left"/>
      </w:bPr>
    </w:lvl>
    <w:lvl w:ilvl="5">
      <w:start w:val="1"/>
      <w:numFmt w:val="decimal"/>
      <w:suff w:val="tab"/>
      <w:lvlText w:val="%6."/>
      <w:lvlJc w:val="left"/>
      <w:addIndent w:val="3960"/>
      <w:bPr>
        <w:type w:val="num"/>
        <w:numType w:val="1"/>
        <w:position w:dxa="0" w:dya="0"/>
        <w:jc w:val="left"/>
      </w:bPr>
    </w:lvl>
    <w:lvl w:ilvl="6">
      <w:start w:val="1"/>
      <w:numFmt w:val="decimal"/>
      <w:suff w:val="tab"/>
      <w:lvlText w:val="%7."/>
      <w:lvlJc w:val="left"/>
      <w:addIndent w:val="4680"/>
      <w:bPr>
        <w:type w:val="num"/>
        <w:numType w:val="1"/>
        <w:position w:dxa="0" w:dya="0"/>
        <w:jc w:val="left"/>
      </w:bPr>
    </w:lvl>
    <w:lvl w:ilvl="7">
      <w:start w:val="1"/>
      <w:numFmt w:val="decimal"/>
      <w:suff w:val="tab"/>
      <w:lvlText w:val="%8."/>
      <w:lvlJc w:val="left"/>
      <w:addIndent w:val="5400"/>
      <w:bPr>
        <w:type w:val="num"/>
        <w:numType w:val="1"/>
        <w:position w:dxa="0" w:dya="0"/>
        <w:jc w:val="left"/>
      </w:bPr>
    </w:lvl>
    <w:lvl w:ilvl="8">
      <w:start w:val="1"/>
      <w:numFmt w:val="decimal"/>
      <w:suff w:val="tab"/>
      <w:lvlText w:val="%9."/>
      <w:lvlJc w:val="left"/>
      <w:addIndent w:val="6120"/>
      <w:bPr>
        <w:type w:val="num"/>
        <w:numType w:val="1"/>
        <w:position w:dxa="0" w:dya="0"/>
        <w:jc w:val="left"/>
      </w:bPr>
    </w:lvl>
  </w:abstractNum>
  <w:abstractNum w:abstractNumId="33">
    <w:multiLevelType w:val="hybridMultilevel"/>
    <w:name w:val="Нумерованный список 33"/>
    <w:lvl w:ilvl="0">
      <w:start w:val="1"/>
      <w:numFmt w:val="decimal"/>
      <w:suff w:val="tab"/>
      <w:lvlText w:val="%1."/>
      <w:lvlJc w:val="left"/>
      <w:addIndent w:val="927"/>
      <w:bPr>
        <w:type w:val="num"/>
        <w:numType w:val="1"/>
        <w:position w:dxa="0" w:dya="0"/>
        <w:jc w:val="left"/>
      </w:bPr>
    </w:lvl>
    <w:lvl w:ilvl="1">
      <w:start w:val="1"/>
      <w:numFmt w:val="lowerLetter"/>
      <w:suff w:val="tab"/>
      <w:lvlText w:val="%2."/>
      <w:lvlJc w:val="left"/>
      <w:addIndent w:val="1647"/>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2547"/>
      <w:bPr>
        <w:type w:val="num"/>
        <w:numType w:val="5"/>
        <w:position w:dxa="0" w:dya="0"/>
        <w:jc w:val="left"/>
      </w:bPr>
    </w:lvl>
    <w:lvl w:ilvl="3">
      <w:start w:val="1"/>
      <w:numFmt w:val="decimal"/>
      <w:suff w:val="tab"/>
      <w:lvlText w:val="%4."/>
      <w:lvlJc w:val="left"/>
      <w:addIndent w:val="3087"/>
      <w:bPr>
        <w:type w:val="num"/>
        <w:numType w:val="1"/>
        <w:position w:dxa="0" w:dya="0"/>
        <w:jc w:val="left"/>
      </w:bPr>
    </w:lvl>
    <w:lvl w:ilvl="4">
      <w:start w:val="1"/>
      <w:numFmt w:val="lowerLetter"/>
      <w:suff w:val="tab"/>
      <w:lvlText w:val="%5."/>
      <w:lvlJc w:val="left"/>
      <w:addIndent w:val="3807"/>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707"/>
      <w:bPr>
        <w:type w:val="num"/>
        <w:numType w:val="5"/>
        <w:position w:dxa="0" w:dya="0"/>
        <w:jc w:val="left"/>
      </w:bPr>
    </w:lvl>
    <w:lvl w:ilvl="6">
      <w:start w:val="1"/>
      <w:numFmt w:val="decimal"/>
      <w:suff w:val="tab"/>
      <w:lvlText w:val="%7."/>
      <w:lvlJc w:val="left"/>
      <w:addIndent w:val="5247"/>
      <w:bPr>
        <w:type w:val="num"/>
        <w:numType w:val="1"/>
        <w:position w:dxa="0" w:dya="0"/>
        <w:jc w:val="left"/>
      </w:bPr>
    </w:lvl>
    <w:lvl w:ilvl="7">
      <w:start w:val="1"/>
      <w:numFmt w:val="lowerLetter"/>
      <w:suff w:val="tab"/>
      <w:lvlText w:val="%8."/>
      <w:lvlJc w:val="left"/>
      <w:addIndent w:val="5967"/>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867"/>
      <w:bPr>
        <w:type w:val="num"/>
        <w:numType w:val="5"/>
        <w:position w:dxa="0" w:dya="0"/>
        <w:jc w:val="left"/>
      </w:bPr>
    </w:lvl>
  </w:abstractNum>
  <w:abstractNum w:abstractNumId="34">
    <w:multiLevelType w:val="hybridMultilevel"/>
    <w:name w:val="Нумерованный список 34"/>
    <w:lvl w:ilvl="0">
      <w:start w:val="1"/>
      <w:numFmt w:val="decimal"/>
      <w:suff w:val="tab"/>
      <w:lvlText w:val="%1."/>
      <w:lvlJc w:val="left"/>
      <w:addIndent w:val="360"/>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lvl>
  </w:abstractNum>
  <w:abstractNum w:abstractNumId="35">
    <w:multiLevelType w:val="hybridMultilevel"/>
    <w:name w:val="Нумерованный список 35"/>
    <w:lvl w:ilvl="0">
      <w:numFmt w:val="bullet"/>
      <w:suff w:val="tab"/>
      <w:lvlText w:val="•"/>
      <w:lvlJc w:val="left"/>
      <w:addIndent w:val="360"/>
      <w:bPr>
        <w:type w:val="char"/>
        <w:bChar w:val="8226"/>
        <w:position w:dxa="0" w:dya="0"/>
        <w:jc w:val="left"/>
      </w:bPr>
      <w:rPr>
        <w:rFonts w:ascii="Arial" w:hAnsi="Arial"/>
      </w:rPr>
    </w:lvl>
    <w:lvl w:ilvl="1">
      <w:numFmt w:val="bullet"/>
      <w:suff w:val="tab"/>
      <w:lvlText w:val="•"/>
      <w:lvlJc w:val="left"/>
      <w:addIndent w:val="1080"/>
      <w:bPr>
        <w:type w:val="char"/>
        <w:bChar w:val="8226"/>
        <w:position w:dxa="0" w:dya="0"/>
        <w:jc w:val="left"/>
      </w:bPr>
      <w:rPr>
        <w:rFonts w:ascii="Arial" w:hAnsi="Arial"/>
      </w:rPr>
    </w:lvl>
    <w:lvl w:ilvl="2">
      <w:numFmt w:val="bullet"/>
      <w:suff w:val="tab"/>
      <w:lvlText w:val="•"/>
      <w:lvlJc w:val="left"/>
      <w:addIndent w:val="1800"/>
      <w:bPr>
        <w:type w:val="char"/>
        <w:bChar w:val="8226"/>
        <w:position w:dxa="0" w:dya="0"/>
        <w:jc w:val="left"/>
      </w:bPr>
      <w:rPr>
        <w:rFonts w:ascii="Arial" w:hAnsi="Arial"/>
      </w:rPr>
    </w:lvl>
    <w:lvl w:ilvl="3">
      <w:numFmt w:val="bullet"/>
      <w:suff w:val="tab"/>
      <w:lvlText w:val="•"/>
      <w:lvlJc w:val="left"/>
      <w:addIndent w:val="2520"/>
      <w:bPr>
        <w:type w:val="char"/>
        <w:bChar w:val="8226"/>
        <w:position w:dxa="0" w:dya="0"/>
        <w:jc w:val="left"/>
      </w:bPr>
      <w:rPr>
        <w:rFonts w:ascii="Arial" w:hAnsi="Arial"/>
      </w:rPr>
    </w:lvl>
    <w:lvl w:ilvl="4">
      <w:numFmt w:val="bullet"/>
      <w:suff w:val="tab"/>
      <w:lvlText w:val="•"/>
      <w:lvlJc w:val="left"/>
      <w:addIndent w:val="3240"/>
      <w:bPr>
        <w:type w:val="char"/>
        <w:bChar w:val="8226"/>
        <w:position w:dxa="0" w:dya="0"/>
        <w:jc w:val="left"/>
      </w:bPr>
      <w:rPr>
        <w:rFonts w:ascii="Arial" w:hAnsi="Arial"/>
      </w:rPr>
    </w:lvl>
    <w:lvl w:ilvl="5">
      <w:numFmt w:val="bullet"/>
      <w:suff w:val="tab"/>
      <w:lvlText w:val="•"/>
      <w:lvlJc w:val="left"/>
      <w:addIndent w:val="3960"/>
      <w:bPr>
        <w:type w:val="char"/>
        <w:bChar w:val="8226"/>
        <w:position w:dxa="0" w:dya="0"/>
        <w:jc w:val="left"/>
      </w:bPr>
      <w:rPr>
        <w:rFonts w:ascii="Arial" w:hAnsi="Arial"/>
      </w:rPr>
    </w:lvl>
    <w:lvl w:ilvl="6">
      <w:numFmt w:val="bullet"/>
      <w:suff w:val="tab"/>
      <w:lvlText w:val="•"/>
      <w:lvlJc w:val="left"/>
      <w:addIndent w:val="4680"/>
      <w:bPr>
        <w:type w:val="char"/>
        <w:bChar w:val="8226"/>
        <w:position w:dxa="0" w:dya="0"/>
        <w:jc w:val="left"/>
      </w:bPr>
      <w:rPr>
        <w:rFonts w:ascii="Arial" w:hAnsi="Arial"/>
      </w:rPr>
    </w:lvl>
    <w:lvl w:ilvl="7">
      <w:numFmt w:val="bullet"/>
      <w:suff w:val="tab"/>
      <w:lvlText w:val="•"/>
      <w:lvlJc w:val="left"/>
      <w:addIndent w:val="5400"/>
      <w:bPr>
        <w:type w:val="char"/>
        <w:bChar w:val="8226"/>
        <w:position w:dxa="0" w:dya="0"/>
        <w:jc w:val="left"/>
      </w:bPr>
      <w:rPr>
        <w:rFonts w:ascii="Arial" w:hAnsi="Arial"/>
      </w:rPr>
    </w:lvl>
    <w:lvl w:ilvl="8">
      <w:numFmt w:val="bullet"/>
      <w:suff w:val="tab"/>
      <w:lvlText w:val="•"/>
      <w:lvlJc w:val="left"/>
      <w:addIndent w:val="6120"/>
      <w:bPr>
        <w:type w:val="char"/>
        <w:bChar w:val="8226"/>
        <w:position w:dxa="0" w:dya="0"/>
        <w:jc w:val="left"/>
      </w:bPr>
      <w:rPr>
        <w:rFonts w:ascii="Arial" w:hAnsi="Arial"/>
      </w:rPr>
    </w:lvl>
  </w:abstractNum>
  <w:abstractNum w:abstractNumId="36">
    <w:multiLevelType w:val="hybridMultilevel"/>
    <w:name w:val="Нумерованный список 36"/>
    <w:lvl w:ilvl="0">
      <w:start w:val="1"/>
      <w:numFmt w:val="decimal"/>
      <w:suff w:val="tab"/>
      <w:lvlText w:val="%1."/>
      <w:lvlJc w:val="left"/>
      <w:addIndent w:val="1068"/>
      <w:bPr>
        <w:type w:val="num"/>
        <w:numType w:val="1"/>
        <w:position w:dxa="0" w:dya="0"/>
        <w:jc w:val="left"/>
      </w:bPr>
    </w:lvl>
    <w:lvl w:ilvl="1">
      <w:start w:val="1"/>
      <w:numFmt w:val="lowerLetter"/>
      <w:suff w:val="tab"/>
      <w:lvlText w:val="%2."/>
      <w:lvlJc w:val="left"/>
      <w:addIndent w:val="1788"/>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2688"/>
      <w:bPr>
        <w:type w:val="num"/>
        <w:numType w:val="5"/>
        <w:position w:dxa="0" w:dya="0"/>
        <w:jc w:val="left"/>
      </w:bPr>
    </w:lvl>
    <w:lvl w:ilvl="3">
      <w:start w:val="1"/>
      <w:numFmt w:val="decimal"/>
      <w:suff w:val="tab"/>
      <w:lvlText w:val="%4."/>
      <w:lvlJc w:val="left"/>
      <w:addIndent w:val="3228"/>
      <w:bPr>
        <w:type w:val="num"/>
        <w:numType w:val="1"/>
        <w:position w:dxa="0" w:dya="0"/>
        <w:jc w:val="left"/>
      </w:bPr>
    </w:lvl>
    <w:lvl w:ilvl="4">
      <w:start w:val="1"/>
      <w:numFmt w:val="lowerLetter"/>
      <w:suff w:val="tab"/>
      <w:lvlText w:val="%5."/>
      <w:lvlJc w:val="left"/>
      <w:addIndent w:val="3948"/>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848"/>
      <w:bPr>
        <w:type w:val="num"/>
        <w:numType w:val="5"/>
        <w:position w:dxa="0" w:dya="0"/>
        <w:jc w:val="left"/>
      </w:bPr>
    </w:lvl>
    <w:lvl w:ilvl="6">
      <w:start w:val="1"/>
      <w:numFmt w:val="decimal"/>
      <w:suff w:val="tab"/>
      <w:lvlText w:val="%7."/>
      <w:lvlJc w:val="left"/>
      <w:addIndent w:val="5388"/>
      <w:bPr>
        <w:type w:val="num"/>
        <w:numType w:val="1"/>
        <w:position w:dxa="0" w:dya="0"/>
        <w:jc w:val="left"/>
      </w:bPr>
    </w:lvl>
    <w:lvl w:ilvl="7">
      <w:start w:val="1"/>
      <w:numFmt w:val="lowerLetter"/>
      <w:suff w:val="tab"/>
      <w:lvlText w:val="%8."/>
      <w:lvlJc w:val="left"/>
      <w:addIndent w:val="6108"/>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7008"/>
      <w:bPr>
        <w:type w:val="num"/>
        <w:numType w:val="5"/>
        <w:position w:dxa="0" w:dya="0"/>
        <w:jc w:val="left"/>
      </w:bPr>
    </w:lvl>
  </w:abstractNum>
  <w:abstractNum w:abstractNumId="37">
    <w:multiLevelType w:val="hybridMultilevel"/>
    <w:name w:val="Нумерованный список 37"/>
    <w:lvl w:ilvl="0">
      <w:start w:val="1"/>
      <w:numFmt w:val="decimal"/>
      <w:suff w:val="tab"/>
      <w:lvlText w:val="%1."/>
      <w:lvlJc w:val="left"/>
      <w:addIndent w:val="360"/>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lvl>
  </w:abstractNum>
  <w:abstractNum w:abstractNumId="38">
    <w:multiLevelType w:val="hybridMultilevel"/>
    <w:name w:val="Нумерованный список 38"/>
    <w:lvl w:ilvl="0">
      <w:start w:val="1"/>
      <w:numFmt w:val="decimal"/>
      <w:suff w:val="tab"/>
      <w:lvlText w:val="%1."/>
      <w:lvlJc w:val="left"/>
      <w:addIndent w:val="360"/>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lvl>
  </w:abstractNum>
  <w:abstractNum w:abstractNumId="39">
    <w:multiLevelType w:val="hybridMultilevel"/>
    <w:name w:val="Нумерованный список 39"/>
    <w:lvl w:ilvl="0">
      <w:start w:val="1"/>
      <w:numFmt w:val="decimal"/>
      <w:suff w:val="tab"/>
      <w:lvlText w:val="%1."/>
      <w:lvlJc w:val="left"/>
      <w:addIndent w:val="360"/>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lvl>
  </w:abstractNum>
  <w:abstractNum w:abstractNumId="40">
    <w:multiLevelType w:val="hybridMultilevel"/>
    <w:name w:val="Нумерованный список 40"/>
    <w:lvl w:ilvl="0">
      <w:start w:val="1"/>
      <w:numFmt w:val="decimal"/>
      <w:suff w:val="tab"/>
      <w:lvlText w:val="%1."/>
      <w:lvlJc w:val="left"/>
      <w:addIndent w:val="0"/>
      <w:bPr>
        <w:type w:val="num"/>
        <w:numType w:val="1"/>
        <w:position w:dxa="0" w:dya="0"/>
        <w:jc w:val="left"/>
      </w:bPr>
      <w:rPr>
        <w:rFonts w:cs="Times New Roman"/>
      </w:rPr>
    </w:lvl>
    <w:lvl w:ilvl="1">
      <w:start w:val="1"/>
      <w:numFmt w:val="lowerLetter"/>
      <w:suff w:val="tab"/>
      <w:lvlText w:val="%2."/>
      <w:lvlJc w:val="left"/>
      <w:addIndent w:val="1080"/>
      <w:bPr>
        <w:type w:val="num"/>
        <w:numType w:val="3"/>
        <w:position w:dxa="0" w:dya="0"/>
        <w:jc w:val="left"/>
      </w:bPr>
      <w:rPr>
        <w:rFonts w:cs="Times New Roman"/>
      </w:r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rPr>
        <w:rFonts w:cs="Times New Roman"/>
      </w:rPr>
    </w:lvl>
    <w:lvl w:ilvl="3">
      <w:start w:val="1"/>
      <w:numFmt w:val="decimal"/>
      <w:suff w:val="tab"/>
      <w:lvlText w:val="%4."/>
      <w:lvlJc w:val="left"/>
      <w:addIndent w:val="2520"/>
      <w:bPr>
        <w:type w:val="num"/>
        <w:numType w:val="1"/>
        <w:position w:dxa="0" w:dya="0"/>
        <w:jc w:val="left"/>
      </w:bPr>
      <w:rPr>
        <w:rFonts w:cs="Times New Roman"/>
      </w:rPr>
    </w:lvl>
    <w:lvl w:ilvl="4">
      <w:start w:val="1"/>
      <w:numFmt w:val="lowerLetter"/>
      <w:suff w:val="tab"/>
      <w:lvlText w:val="%5."/>
      <w:lvlJc w:val="left"/>
      <w:addIndent w:val="3240"/>
      <w:bPr>
        <w:type w:val="num"/>
        <w:numType w:val="3"/>
        <w:position w:dxa="0" w:dya="0"/>
        <w:jc w:val="left"/>
      </w:bPr>
      <w:rPr>
        <w:rFonts w:cs="Times New Roman"/>
      </w:r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rPr>
        <w:rFonts w:cs="Times New Roman"/>
      </w:rPr>
    </w:lvl>
    <w:lvl w:ilvl="6">
      <w:start w:val="1"/>
      <w:numFmt w:val="decimal"/>
      <w:suff w:val="tab"/>
      <w:lvlText w:val="%7."/>
      <w:lvlJc w:val="left"/>
      <w:addIndent w:val="4680"/>
      <w:bPr>
        <w:type w:val="num"/>
        <w:numType w:val="1"/>
        <w:position w:dxa="0" w:dya="0"/>
        <w:jc w:val="left"/>
      </w:bPr>
      <w:rPr>
        <w:rFonts w:cs="Times New Roman"/>
      </w:rPr>
    </w:lvl>
    <w:lvl w:ilvl="7">
      <w:start w:val="1"/>
      <w:numFmt w:val="lowerLetter"/>
      <w:suff w:val="tab"/>
      <w:lvlText w:val="%8."/>
      <w:lvlJc w:val="left"/>
      <w:addIndent w:val="5400"/>
      <w:bPr>
        <w:type w:val="num"/>
        <w:numType w:val="3"/>
        <w:position w:dxa="0" w:dya="0"/>
        <w:jc w:val="left"/>
      </w:bPr>
      <w:rPr>
        <w:rFonts w:cs="Times New Roman"/>
      </w:r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rPr>
        <w:rFonts w:cs="Times New Roman"/>
      </w:rPr>
    </w:lvl>
  </w:abstractNum>
  <w:abstractNum w:abstractNumId="41">
    <w:multiLevelType w:val="hybridMultilevel"/>
    <w:name w:val="Нумерованный список 41"/>
    <w:lvl w:ilvl="0">
      <w:start w:val="1"/>
      <w:numFmt w:val="decimal"/>
      <w:suff w:val="tab"/>
      <w:lvlText w:val="%1."/>
      <w:lvlJc w:val="left"/>
      <w:addIndent w:val="360"/>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00820739" w:val="1206" w:fileVer="342" w:fileVer64="64" w:fileVerOS="1"/>
  <w:zoom w:percent="69"/>
  <w:view w:val="print"/>
  <w:defaultTabStop w:val="708"/>
  <w:autoHyphenation w:val="1"/>
  <w:doNotShadeFormData w:val="0"/>
  <w:captions>
    <w:caption w:name="Таблица" w:pos="below" w:numFmt="decimal"/>
    <w:caption w:name="Рисунок" w:pos="below" w:numFmt="decimal"/>
    <w:caption w:name="Изображение" w:pos="below" w:numFmt="decimal"/>
  </w:captions>
  <w:drawingGridHorizontalSpacing w:val="110"/>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shapeDefaults>
    <o:shapedefaults v:ext="edit" spidmax="2049"/>
    <o:shapelayout v:ext="edit">
      <o:rules v:ext="edit"/>
    </o:shapelayout>
  </w:shapeDefaults>
  <w:tmPrefOne w:val="17"/>
  <w:tmPrefTwo w:val="1"/>
  <w:tmFmtPref w:val="189275243"/>
  <w:tmCommentsPr>
    <w:tmCommentsPlace w:val="0"/>
    <w:tmCommentsWidth w:val="3119"/>
    <w:tmCommentsColor w:val="-1"/>
  </w:tmCommentsPr>
  <w:tmReviewPr>
    <w:tmReviewEnabled w:val="0"/>
    <w:tmReviewShow w:val="1"/>
    <w:tmReviewPrint w:val="0"/>
    <w:tmRevisionNum w:val="8"/>
    <w:tmReviewMarkIns w:val="4"/>
    <w:tmReviewColorIns w:val="-1"/>
    <w:tmReviewMarkDel w:val="6"/>
    <w:tmReviewColorDel w:val="-1"/>
    <w:tmReviewMarkFmt w:val="1"/>
    <w:tmReviewColorFmt w:val="-1"/>
    <w:tmReviewMarkLn w:val="1"/>
    <w:tmReviewColorLn w:val="0"/>
    <w:tmReviewToolTip w:val="1"/>
  </w:tmReviewPr>
  <w:tmLastPos>
    <w:tmLastPosPage w:val="6"/>
    <w:tmLastPosSelect w:val="0"/>
    <w:tmLastPosFrameIdx w:val="0"/>
    <w:tmLastPosCaret>
      <w:tmLastPosPgfIdx w:val="134"/>
      <w:tmLastPosIdx w:val="27"/>
    </w:tmLastPosCaret>
    <w:tmLastPosAnchor>
      <w:tmLastPosPgfIdx w:val="0"/>
      <w:tmLastPosIdx w:val="0"/>
    </w:tmLastPosAnchor>
    <w:tmLastPosTblRect w:left="0" w:top="0" w:right="0" w:bottom="0"/>
  </w:tmLastPos>
  <w:indexPr/>
  <bibliography>
    <biboptions val="0" w:num="0"/>
    <w:pdfExportOpt pagesRangeIndex="1" pagesSelectionIndex="0" qualityIndex="2" embedFonts="2" pdfaType="0" useJpegs="0" useSubsetFonts="0" useAlpha="1" relativeLinks="0" useInteractiveForms="0" taggedPdf="1" pane="2" zoom="4" zoomScale="100" layout="0" includeDoc="0" viewFlags="0" openViewer="1" jpegQuality="90" flags="252" tocGen="1" tocLevels="2" exportComments="0" exportChanges="0" name="/Users/nikolajosipov/Desktop/e_978-5-8021-4158-8_2.pdf"/>
  </bibliography>
  <w:guidesAndGrid showGuides="1" lockGuides="0" snapToGuides="1" snapToPageMargins="0" snapToOtherObjects="1" tolerance="8" gridDistanceHorizontal="110"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0"/>
        <w:szCs w:val="20"/>
        <w:lang w:val="en-us" w:eastAsia="en-gb"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2"/>
      <w:szCs w:val="22"/>
      <w:lang w:val="ru-ru" w:eastAsia="en-us"/>
    </w:rPr>
  </w:style>
  <w:style w:type="paragraph" w:styleId="para1">
    <w:name w:val="Header"/>
    <w:qFormat/>
    <w:basedOn w:val="para0"/>
    <w:pPr>
      <w:spacing w:after="0" w:line="240" w:lineRule="auto"/>
      <w:tabs defTabSz="708">
        <w:tab w:val="center" w:pos="4677" w:leader="none"/>
        <w:tab w:val="right" w:pos="9355" w:leader="none"/>
      </w:tabs>
    </w:pPr>
  </w:style>
  <w:style w:type="paragraph" w:styleId="para2">
    <w:name w:val="Footer"/>
    <w:qFormat/>
    <w:basedOn w:val="para0"/>
    <w:pPr>
      <w:spacing w:after="0" w:line="240" w:lineRule="auto"/>
      <w:tabs defTabSz="708">
        <w:tab w:val="center" w:pos="4677" w:leader="none"/>
        <w:tab w:val="right" w:pos="9355" w:leader="none"/>
      </w:tabs>
    </w:pPr>
  </w:style>
  <w:style w:type="paragraph" w:styleId="para3">
    <w:name w:val="HTML Preformatted"/>
    <w:qFormat/>
    <w:basedOn w:val="para0"/>
    <w:pPr>
      <w:spacing w:after="0" w:line="240" w:lineRule="auto"/>
      <w:tabs defTabSz="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Times New Roman" w:cs="Courier New"/>
      <w:sz w:val="20"/>
      <w:szCs w:val="20"/>
      <w:lang w:eastAsia="ru-ru"/>
    </w:rPr>
  </w:style>
  <w:style w:type="paragraph" w:styleId="para4">
    <w:name w:val="List Paragraph"/>
    <w:qFormat/>
    <w:basedOn w:val="para0"/>
    <w:pPr>
      <w:ind w:left="720"/>
      <w:contextualSpacing/>
    </w:pPr>
    <w:rPr>
      <w:rFonts w:eastAsia="Times New Roman"/>
      <w:lang w:val="en-us"/>
    </w:rPr>
  </w:style>
  <w:style w:type="paragraph" w:styleId="para5">
    <w:name w:val="Balloon Text"/>
    <w:qFormat/>
    <w:basedOn w:val="para0"/>
    <w:pPr>
      <w:spacing w:after="0" w:line="240" w:lineRule="auto"/>
    </w:pPr>
    <w:rPr>
      <w:rFonts w:ascii="Tahoma" w:hAnsi="Tahoma" w:cs="Tahoma"/>
      <w:sz w:val="16"/>
      <w:szCs w:val="16"/>
    </w:rPr>
  </w:style>
  <w:style w:type="paragraph" w:styleId="para6" w:customStyle="1">
    <w:name w:val="Default"/>
    <w:qFormat/>
    <w:pPr>
      <w:spacing w:after="0" w:line="240" w:lineRule="auto"/>
    </w:pPr>
    <w:rPr>
      <w:rFonts w:ascii="Times New Roman" w:hAnsi="Times New Roman" w:eastAsia="Calibri" w:cs="Times New Roman"/>
      <w:color w:val="000000"/>
      <w:sz w:val="24"/>
      <w:szCs w:val="24"/>
      <w:lang w:val="ru-ru" w:eastAsia="en-us" w:bidi="ar-sa"/>
    </w:rPr>
  </w:style>
  <w:style w:type="paragraph" w:styleId="para7">
    <w:name w:val="No Spacing"/>
    <w:qFormat/>
    <w:pPr>
      <w:spacing w:after="0" w:line="240" w:lineRule="auto"/>
      <w:widowControl w:val="0"/>
    </w:pPr>
    <w:rPr>
      <w:rFonts w:ascii="Courier New" w:hAnsi="Courier New" w:eastAsia="Times New Roman" w:cs="Courier New"/>
      <w:sz w:val="22"/>
      <w:szCs w:val="22"/>
      <w:lang w:val="ru-ru" w:eastAsia="ru-ru" w:bidi="ar-sa"/>
    </w:rPr>
  </w:style>
  <w:style w:type="paragraph" w:styleId="para8">
    <w:name w:val="Normal (Web)"/>
    <w:qFormat/>
    <w:basedOn w:val="para0"/>
    <w:pPr>
      <w:spacing w:before="100" w:after="100" w:beforeAutospacing="1" w:afterAutospacing="1" w:line="240" w:lineRule="auto"/>
    </w:pPr>
    <w:rPr>
      <w:rFonts w:ascii="Times New Roman" w:hAnsi="Times New Roman" w:eastAsia="Times New Roman"/>
      <w:sz w:val="24"/>
      <w:szCs w:val="24"/>
      <w:lang w:eastAsia="ru-ru"/>
    </w:rPr>
  </w:style>
  <w:style w:type="paragraph" w:styleId="para9" w:customStyle="1">
    <w:name w:val="comp"/>
    <w:qFormat/>
    <w:basedOn w:val="para0"/>
    <w:pPr>
      <w:spacing w:before="100" w:after="100" w:beforeAutospacing="1" w:afterAutospacing="1" w:line="240" w:lineRule="auto"/>
    </w:pPr>
    <w:rPr>
      <w:rFonts w:ascii="Times New Roman" w:hAnsi="Times New Roman" w:eastAsia="Times New Roman"/>
      <w:sz w:val="24"/>
      <w:szCs w:val="24"/>
      <w:lang w:eastAsia="ru-ru"/>
    </w:rPr>
  </w:style>
  <w:style w:type="paragraph" w:styleId="para10">
    <w:name w:val="Footnote Text"/>
    <w:qFormat/>
    <w:basedOn w:val="para0"/>
    <w:rPr>
      <w:sz w:val="20"/>
      <w:szCs w:val="20"/>
    </w:rPr>
  </w:style>
  <w:style w:type="paragraph" w:styleId="para11">
    <w:name w:val="Document Map"/>
    <w:qFormat/>
    <w:basedOn w:val="para0"/>
    <w:pPr>
      <w:spacing w:after="0" w:line="240" w:lineRule="auto"/>
    </w:pPr>
    <w:rPr>
      <w:rFonts w:ascii="Tahoma" w:hAnsi="Tahoma" w:cs="Tahoma"/>
      <w:sz w:val="16"/>
      <w:szCs w:val="16"/>
    </w:rPr>
  </w:style>
  <w:style w:type="paragraph" w:styleId="para12" w:customStyle="1">
    <w:name w:val="Абзац списка1"/>
    <w:qFormat/>
    <w:basedOn w:val="para0"/>
    <w:pPr>
      <w:ind w:left="720"/>
    </w:pPr>
    <w:rPr>
      <w:rFonts w:eastAsia="Times New Roman" w:cs="Calibri"/>
    </w:rPr>
  </w:style>
  <w:style w:type="paragraph" w:styleId="para13" w:customStyle="1">
    <w:name w:val="текст ВКР"/>
    <w:qFormat/>
    <w:basedOn w:val="para0"/>
    <w:pPr>
      <w:ind w:firstLine="567"/>
      <w:spacing w:after="160" w:line="360" w:lineRule="auto"/>
      <w:jc w:val="both"/>
    </w:pPr>
    <w:rPr>
      <w:sz w:val="28"/>
      <w:szCs w:val="28"/>
    </w:rPr>
  </w:style>
  <w:style w:type="paragraph" w:styleId="para14">
    <w:name w:val="Body Text"/>
    <w:qFormat/>
    <w:basedOn w:val="para0"/>
    <w:pPr>
      <w:spacing w:after="0" w:line="240" w:lineRule="auto"/>
      <w:jc w:val="center"/>
    </w:pPr>
    <w:rPr>
      <w:rFonts w:ascii="Times New Roman" w:hAnsi="Times New Roman" w:eastAsia="Times New Roman"/>
      <w:b/>
      <w:bCs/>
      <w:sz w:val="40"/>
      <w:szCs w:val="24"/>
      <w:lang w:eastAsia="ru-ru"/>
    </w:rPr>
  </w:style>
  <w:style w:type="paragraph" w:styleId="para15" w:customStyle="1">
    <w:name w:val="ConsPlusTitle"/>
    <w:qFormat/>
    <w:pPr>
      <w:spacing w:after="0" w:line="240" w:lineRule="auto"/>
      <w:widowControl w:val="0"/>
    </w:pPr>
    <w:rPr>
      <w:rFonts w:ascii="Arial" w:hAnsi="Arial" w:eastAsia="Times New Roman" w:cs="Arial"/>
      <w:b/>
      <w:bCs/>
      <w:lang w:val="ru-ru" w:eastAsia="ru-ru" w:bidi="ar-sa"/>
    </w:rPr>
  </w:style>
  <w:style w:type="paragraph" w:styleId="para16">
    <w:name w:val="heading 1"/>
    <w:qFormat/>
    <w:basedOn w:val="para0"/>
    <w:next w:val="para0"/>
    <w:pPr>
      <w:spacing w:after="60"/>
      <w:jc w:val="center"/>
      <w:keepNext/>
      <w:outlineLvl w:val="0"/>
      <w:keepLines/>
    </w:pPr>
    <w:rPr>
      <w:rFonts w:ascii="Times New Roman" w:hAnsi="Times New Roman" w:eastAsia="Times New Roman"/>
      <w:b/>
      <w:bCs/>
      <w:sz w:val="24"/>
      <w:szCs w:val="24"/>
      <w:lang w:eastAsia="ru-ru" w:bidi="ru-ru"/>
    </w:rPr>
    <w:key w:val="3121"/>
  </w:style>
  <w:style w:type="paragraph" w:styleId="para17">
    <w:name w:val="heading 2"/>
    <w:qFormat/>
    <w:basedOn w:val="para16"/>
    <w:next w:val="para0"/>
    <w:pPr>
      <w:spacing w:after="0"/>
      <w:jc w:val="right"/>
      <w:outlineLvl w:val="1"/>
    </w:pPr>
    <w:rPr>
      <w:i/>
      <w:iCs/>
    </w:rPr>
    <w:key w:val="3122"/>
  </w:style>
  <w:style w:type="paragraph" w:styleId="para18">
    <w:name w:val="toc 1"/>
    <w:qFormat/>
    <w:basedOn w:val="para0"/>
    <w:next w:val="para0"/>
    <w:pPr>
      <w:spacing w:after="0"/>
    </w:pPr>
  </w:style>
  <w:style w:type="paragraph" w:styleId="para19">
    <w:name w:val="toc 2"/>
    <w:qFormat/>
    <w:basedOn w:val="para0"/>
    <w:next w:val="para0"/>
    <w:pPr>
      <w:ind w:left="283"/>
      <w:spacing w:after="0"/>
    </w:pPr>
  </w:style>
  <w:style w:type="paragraph" w:styleId="para20">
    <w:name w:val="heading 3"/>
    <w:qFormat/>
    <w:basedOn w:val="para17"/>
    <w:next w:val="para0"/>
    <w:pPr>
      <w:spacing w:before="240" w:after="60"/>
      <w:outlineLvl w:val="2"/>
    </w:pPr>
    <w:rPr>
      <w:rFonts w:ascii="Basic Sans" w:hAnsi="Basic Sans" w:eastAsia="Basic Sans" w:cs="Basic Sans"/>
      <w:i w:val="0"/>
      <w:iCs w:val="0"/>
      <w:sz w:val="28"/>
      <w:szCs w:val="28"/>
    </w:rPr>
    <w:key w:val="3123"/>
  </w:style>
  <w:style w:type="character" w:styleId="char0" w:default="1">
    <w:name w:val="Default Paragraph Font"/>
  </w:style>
  <w:style w:type="character" w:styleId="char1" w:customStyle="1">
    <w:name w:val="Header Char"/>
    <w:basedOn w:val="char0"/>
  </w:style>
  <w:style w:type="character" w:styleId="char2" w:customStyle="1">
    <w:name w:val="Footer Char"/>
    <w:basedOn w:val="char0"/>
  </w:style>
  <w:style w:type="character" w:styleId="char3">
    <w:name w:val="Emphasis"/>
    <w:rPr>
      <w:i/>
      <w:iCs/>
    </w:rPr>
  </w:style>
  <w:style w:type="character" w:styleId="char4">
    <w:name w:val="Hyperlink"/>
    <w:rPr>
      <w:color w:val="0000ff"/>
      <w:u w:color="auto" w:val="single"/>
    </w:rPr>
  </w:style>
  <w:style w:type="character" w:styleId="char5" w:customStyle="1">
    <w:name w:val="HTML Preformatted Char"/>
    <w:rPr>
      <w:rFonts w:ascii="Courier New" w:hAnsi="Courier New" w:eastAsia="Times New Roman" w:cs="Courier New"/>
      <w:sz w:val="20"/>
      <w:szCs w:val="20"/>
      <w:lang w:eastAsia="ru-ru"/>
    </w:rPr>
  </w:style>
  <w:style w:type="character" w:styleId="char6" w:customStyle="1">
    <w:name w:val="y2iqfc"/>
    <w:basedOn w:val="char0"/>
  </w:style>
  <w:style w:type="character" w:styleId="char7" w:customStyle="1">
    <w:name w:val="Balloon Text Char"/>
    <w:rPr>
      <w:rFonts w:ascii="Tahoma" w:hAnsi="Tahoma" w:cs="Tahoma"/>
      <w:sz w:val="16"/>
      <w:szCs w:val="16"/>
    </w:rPr>
  </w:style>
  <w:style w:type="character" w:styleId="char8" w:customStyle="1">
    <w:name w:val="No Spacing Char"/>
    <w:rPr>
      <w:rFonts w:ascii="Courier New" w:hAnsi="Courier New" w:eastAsia="Times New Roman" w:cs="Courier New"/>
      <w:sz w:val="22"/>
      <w:szCs w:val="22"/>
      <w:lang w:eastAsia="ru-ru" w:bidi="ar-sa"/>
    </w:rPr>
  </w:style>
  <w:style w:type="character" w:styleId="char9" w:customStyle="1">
    <w:name w:val="reference-text"/>
    <w:basedOn w:val="char0"/>
  </w:style>
  <w:style w:type="character" w:styleId="char10" w:customStyle="1">
    <w:name w:val="mntl-inline-citation"/>
    <w:basedOn w:val="char0"/>
  </w:style>
  <w:style w:type="character" w:styleId="char11" w:customStyle="1">
    <w:name w:val="Footnote Text Char"/>
    <w:rPr>
      <w:rFonts w:ascii="Calibri" w:hAnsi="Calibri" w:eastAsia="Calibri" w:cs="Times New Roman"/>
      <w:sz w:val="20"/>
      <w:szCs w:val="20"/>
    </w:rPr>
  </w:style>
  <w:style w:type="character" w:styleId="char12">
    <w:name w:val="Footnote Reference"/>
    <w:rPr>
      <w:vertAlign w:val="superscript" ssSize="66" ssDist="20"/>
    </w:rPr>
  </w:style>
  <w:style w:type="character" w:styleId="char13" w:customStyle="1">
    <w:name w:val="Document Map Char"/>
    <w:rPr>
      <w:rFonts w:ascii="Tahoma" w:hAnsi="Tahoma" w:cs="Tahoma"/>
      <w:sz w:val="16"/>
      <w:szCs w:val="16"/>
    </w:rPr>
  </w:style>
  <w:style w:type="character" w:styleId="char14" w:customStyle="1">
    <w:name w:val="Font Style159"/>
    <w:rPr>
      <w:rFonts w:ascii="Times New Roman" w:hAnsi="Times New Roman"/>
      <w:spacing w:val="20" spc="78"/>
      <w:sz w:val="16"/>
    </w:rPr>
  </w:style>
  <w:style w:type="character" w:styleId="char15" w:customStyle="1">
    <w:name w:val="текст ВКР Знак"/>
    <w:rPr>
      <w:sz w:val="28"/>
      <w:szCs w:val="28"/>
    </w:rPr>
  </w:style>
  <w:style w:type="character" w:styleId="char16" w:customStyle="1">
    <w:name w:val="fontstyle21"/>
    <w:rPr>
      <w:rFonts w:ascii="FrutigerLTPro-LightCn" w:hAnsi="FrutigerLTPro-LightCn"/>
      <w:b w:val="0"/>
      <w:bCs w:val="0"/>
      <w:i w:val="0"/>
      <w:iCs w:val="0"/>
      <w:color w:val="242021"/>
      <w:sz w:val="26"/>
      <w:szCs w:val="26"/>
    </w:rPr>
  </w:style>
  <w:style w:type="character" w:styleId="char17">
    <w:name w:val="Strong"/>
    <w:rPr>
      <w:b/>
      <w:bCs/>
    </w:rPr>
  </w:style>
  <w:style w:type="character" w:styleId="char18" w:customStyle="1">
    <w:name w:val="Body Text Char"/>
    <w:rPr>
      <w:rFonts w:ascii="Times New Roman" w:hAnsi="Times New Roman" w:eastAsia="Times New Roman"/>
      <w:b/>
      <w:bCs/>
      <w:sz w:val="40"/>
      <w:szCs w:val="24"/>
    </w:rPr>
  </w:style>
  <w:style w:type="character" w:styleId="char19" w:customStyle="1">
    <w:name w:val="apple-converted-space"/>
    <w:basedOn w:val="char0"/>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Сетка таблицы"/>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Times New Roman"/>
        <w:sz w:val="20"/>
        <w:szCs w:val="20"/>
        <w:lang w:val="en-us" w:eastAsia="en-gb"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2"/>
      <w:szCs w:val="22"/>
      <w:lang w:val="ru-ru" w:eastAsia="en-us"/>
    </w:rPr>
  </w:style>
  <w:style w:type="paragraph" w:styleId="para1">
    <w:name w:val="Header"/>
    <w:qFormat/>
    <w:basedOn w:val="para0"/>
    <w:pPr>
      <w:spacing w:after="0" w:line="240" w:lineRule="auto"/>
      <w:tabs defTabSz="708">
        <w:tab w:val="center" w:pos="4677" w:leader="none"/>
        <w:tab w:val="right" w:pos="9355" w:leader="none"/>
      </w:tabs>
    </w:pPr>
  </w:style>
  <w:style w:type="paragraph" w:styleId="para2">
    <w:name w:val="Footer"/>
    <w:qFormat/>
    <w:basedOn w:val="para0"/>
    <w:pPr>
      <w:spacing w:after="0" w:line="240" w:lineRule="auto"/>
      <w:tabs defTabSz="708">
        <w:tab w:val="center" w:pos="4677" w:leader="none"/>
        <w:tab w:val="right" w:pos="9355" w:leader="none"/>
      </w:tabs>
    </w:pPr>
  </w:style>
  <w:style w:type="paragraph" w:styleId="para3">
    <w:name w:val="HTML Preformatted"/>
    <w:qFormat/>
    <w:basedOn w:val="para0"/>
    <w:pPr>
      <w:spacing w:after="0" w:line="240" w:lineRule="auto"/>
      <w:tabs defTabSz="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Times New Roman" w:cs="Courier New"/>
      <w:sz w:val="20"/>
      <w:szCs w:val="20"/>
      <w:lang w:eastAsia="ru-ru"/>
    </w:rPr>
  </w:style>
  <w:style w:type="paragraph" w:styleId="para4">
    <w:name w:val="List Paragraph"/>
    <w:qFormat/>
    <w:basedOn w:val="para0"/>
    <w:pPr>
      <w:ind w:left="720"/>
      <w:contextualSpacing/>
    </w:pPr>
    <w:rPr>
      <w:rFonts w:eastAsia="Times New Roman"/>
      <w:lang w:val="en-us"/>
    </w:rPr>
  </w:style>
  <w:style w:type="paragraph" w:styleId="para5">
    <w:name w:val="Balloon Text"/>
    <w:qFormat/>
    <w:basedOn w:val="para0"/>
    <w:pPr>
      <w:spacing w:after="0" w:line="240" w:lineRule="auto"/>
    </w:pPr>
    <w:rPr>
      <w:rFonts w:ascii="Tahoma" w:hAnsi="Tahoma" w:cs="Tahoma"/>
      <w:sz w:val="16"/>
      <w:szCs w:val="16"/>
    </w:rPr>
  </w:style>
  <w:style w:type="paragraph" w:styleId="para6" w:customStyle="1">
    <w:name w:val="Default"/>
    <w:qFormat/>
    <w:pPr>
      <w:spacing w:after="0" w:line="240" w:lineRule="auto"/>
    </w:pPr>
    <w:rPr>
      <w:rFonts w:ascii="Times New Roman" w:hAnsi="Times New Roman" w:eastAsia="Calibri" w:cs="Times New Roman"/>
      <w:color w:val="000000"/>
      <w:sz w:val="24"/>
      <w:szCs w:val="24"/>
      <w:lang w:val="ru-ru" w:eastAsia="en-us" w:bidi="ar-sa"/>
    </w:rPr>
  </w:style>
  <w:style w:type="paragraph" w:styleId="para7">
    <w:name w:val="No Spacing"/>
    <w:qFormat/>
    <w:pPr>
      <w:spacing w:after="0" w:line="240" w:lineRule="auto"/>
      <w:widowControl w:val="0"/>
    </w:pPr>
    <w:rPr>
      <w:rFonts w:ascii="Courier New" w:hAnsi="Courier New" w:eastAsia="Times New Roman" w:cs="Courier New"/>
      <w:sz w:val="22"/>
      <w:szCs w:val="22"/>
      <w:lang w:val="ru-ru" w:eastAsia="ru-ru" w:bidi="ar-sa"/>
    </w:rPr>
  </w:style>
  <w:style w:type="paragraph" w:styleId="para8">
    <w:name w:val="Normal (Web)"/>
    <w:qFormat/>
    <w:basedOn w:val="para0"/>
    <w:pPr>
      <w:spacing w:before="100" w:after="100" w:beforeAutospacing="1" w:afterAutospacing="1" w:line="240" w:lineRule="auto"/>
    </w:pPr>
    <w:rPr>
      <w:rFonts w:ascii="Times New Roman" w:hAnsi="Times New Roman" w:eastAsia="Times New Roman"/>
      <w:sz w:val="24"/>
      <w:szCs w:val="24"/>
      <w:lang w:eastAsia="ru-ru"/>
    </w:rPr>
  </w:style>
  <w:style w:type="paragraph" w:styleId="para9" w:customStyle="1">
    <w:name w:val="comp"/>
    <w:qFormat/>
    <w:basedOn w:val="para0"/>
    <w:pPr>
      <w:spacing w:before="100" w:after="100" w:beforeAutospacing="1" w:afterAutospacing="1" w:line="240" w:lineRule="auto"/>
    </w:pPr>
    <w:rPr>
      <w:rFonts w:ascii="Times New Roman" w:hAnsi="Times New Roman" w:eastAsia="Times New Roman"/>
      <w:sz w:val="24"/>
      <w:szCs w:val="24"/>
      <w:lang w:eastAsia="ru-ru"/>
    </w:rPr>
  </w:style>
  <w:style w:type="paragraph" w:styleId="para10">
    <w:name w:val="Footnote Text"/>
    <w:qFormat/>
    <w:basedOn w:val="para0"/>
    <w:rPr>
      <w:sz w:val="20"/>
      <w:szCs w:val="20"/>
    </w:rPr>
  </w:style>
  <w:style w:type="paragraph" w:styleId="para11">
    <w:name w:val="Document Map"/>
    <w:qFormat/>
    <w:basedOn w:val="para0"/>
    <w:pPr>
      <w:spacing w:after="0" w:line="240" w:lineRule="auto"/>
    </w:pPr>
    <w:rPr>
      <w:rFonts w:ascii="Tahoma" w:hAnsi="Tahoma" w:cs="Tahoma"/>
      <w:sz w:val="16"/>
      <w:szCs w:val="16"/>
    </w:rPr>
  </w:style>
  <w:style w:type="paragraph" w:styleId="para12" w:customStyle="1">
    <w:name w:val="Абзац списка1"/>
    <w:qFormat/>
    <w:basedOn w:val="para0"/>
    <w:pPr>
      <w:ind w:left="720"/>
    </w:pPr>
    <w:rPr>
      <w:rFonts w:eastAsia="Times New Roman" w:cs="Calibri"/>
    </w:rPr>
  </w:style>
  <w:style w:type="paragraph" w:styleId="para13" w:customStyle="1">
    <w:name w:val="текст ВКР"/>
    <w:qFormat/>
    <w:basedOn w:val="para0"/>
    <w:pPr>
      <w:ind w:firstLine="567"/>
      <w:spacing w:after="160" w:line="360" w:lineRule="auto"/>
      <w:jc w:val="both"/>
    </w:pPr>
    <w:rPr>
      <w:sz w:val="28"/>
      <w:szCs w:val="28"/>
    </w:rPr>
  </w:style>
  <w:style w:type="paragraph" w:styleId="para14">
    <w:name w:val="Body Text"/>
    <w:qFormat/>
    <w:basedOn w:val="para0"/>
    <w:pPr>
      <w:spacing w:after="0" w:line="240" w:lineRule="auto"/>
      <w:jc w:val="center"/>
    </w:pPr>
    <w:rPr>
      <w:rFonts w:ascii="Times New Roman" w:hAnsi="Times New Roman" w:eastAsia="Times New Roman"/>
      <w:b/>
      <w:bCs/>
      <w:sz w:val="40"/>
      <w:szCs w:val="24"/>
      <w:lang w:eastAsia="ru-ru"/>
    </w:rPr>
  </w:style>
  <w:style w:type="paragraph" w:styleId="para15" w:customStyle="1">
    <w:name w:val="ConsPlusTitle"/>
    <w:qFormat/>
    <w:pPr>
      <w:spacing w:after="0" w:line="240" w:lineRule="auto"/>
      <w:widowControl w:val="0"/>
    </w:pPr>
    <w:rPr>
      <w:rFonts w:ascii="Arial" w:hAnsi="Arial" w:eastAsia="Times New Roman" w:cs="Arial"/>
      <w:b/>
      <w:bCs/>
      <w:lang w:val="ru-ru" w:eastAsia="ru-ru" w:bidi="ar-sa"/>
    </w:rPr>
  </w:style>
  <w:style w:type="paragraph" w:styleId="para16">
    <w:name w:val="heading 1"/>
    <w:qFormat/>
    <w:basedOn w:val="para0"/>
    <w:next w:val="para0"/>
    <w:pPr>
      <w:spacing w:after="60"/>
      <w:jc w:val="center"/>
      <w:keepNext/>
      <w:outlineLvl w:val="0"/>
      <w:keepLines/>
    </w:pPr>
    <w:rPr>
      <w:rFonts w:ascii="Times New Roman" w:hAnsi="Times New Roman" w:eastAsia="Times New Roman"/>
      <w:b/>
      <w:bCs/>
      <w:sz w:val="24"/>
      <w:szCs w:val="24"/>
      <w:lang w:eastAsia="ru-ru" w:bidi="ru-ru"/>
    </w:rPr>
    <w:key w:val="3121"/>
  </w:style>
  <w:style w:type="paragraph" w:styleId="para17">
    <w:name w:val="heading 2"/>
    <w:qFormat/>
    <w:basedOn w:val="para16"/>
    <w:next w:val="para0"/>
    <w:pPr>
      <w:spacing w:after="0"/>
      <w:jc w:val="right"/>
      <w:outlineLvl w:val="1"/>
    </w:pPr>
    <w:rPr>
      <w:i/>
      <w:iCs/>
    </w:rPr>
    <w:key w:val="3122"/>
  </w:style>
  <w:style w:type="paragraph" w:styleId="para18">
    <w:name w:val="toc 1"/>
    <w:qFormat/>
    <w:basedOn w:val="para0"/>
    <w:next w:val="para0"/>
    <w:pPr>
      <w:spacing w:after="0"/>
    </w:pPr>
  </w:style>
  <w:style w:type="paragraph" w:styleId="para19">
    <w:name w:val="toc 2"/>
    <w:qFormat/>
    <w:basedOn w:val="para0"/>
    <w:next w:val="para0"/>
    <w:pPr>
      <w:ind w:left="283"/>
      <w:spacing w:after="0"/>
    </w:pPr>
  </w:style>
  <w:style w:type="paragraph" w:styleId="para20">
    <w:name w:val="heading 3"/>
    <w:qFormat/>
    <w:basedOn w:val="para17"/>
    <w:next w:val="para0"/>
    <w:pPr>
      <w:spacing w:before="240" w:after="60"/>
      <w:outlineLvl w:val="2"/>
    </w:pPr>
    <w:rPr>
      <w:rFonts w:ascii="Basic Sans" w:hAnsi="Basic Sans" w:eastAsia="Basic Sans" w:cs="Basic Sans"/>
      <w:i w:val="0"/>
      <w:iCs w:val="0"/>
      <w:sz w:val="28"/>
      <w:szCs w:val="28"/>
    </w:rPr>
    <w:key w:val="3123"/>
  </w:style>
  <w:style w:type="character" w:styleId="char0" w:default="1">
    <w:name w:val="Default Paragraph Font"/>
  </w:style>
  <w:style w:type="character" w:styleId="char1" w:customStyle="1">
    <w:name w:val="Header Char"/>
    <w:basedOn w:val="char0"/>
  </w:style>
  <w:style w:type="character" w:styleId="char2" w:customStyle="1">
    <w:name w:val="Footer Char"/>
    <w:basedOn w:val="char0"/>
  </w:style>
  <w:style w:type="character" w:styleId="char3">
    <w:name w:val="Emphasis"/>
    <w:rPr>
      <w:i/>
      <w:iCs/>
    </w:rPr>
  </w:style>
  <w:style w:type="character" w:styleId="char4">
    <w:name w:val="Hyperlink"/>
    <w:rPr>
      <w:color w:val="0000ff"/>
      <w:u w:color="auto" w:val="single"/>
    </w:rPr>
  </w:style>
  <w:style w:type="character" w:styleId="char5" w:customStyle="1">
    <w:name w:val="HTML Preformatted Char"/>
    <w:rPr>
      <w:rFonts w:ascii="Courier New" w:hAnsi="Courier New" w:eastAsia="Times New Roman" w:cs="Courier New"/>
      <w:sz w:val="20"/>
      <w:szCs w:val="20"/>
      <w:lang w:eastAsia="ru-ru"/>
    </w:rPr>
  </w:style>
  <w:style w:type="character" w:styleId="char6" w:customStyle="1">
    <w:name w:val="y2iqfc"/>
    <w:basedOn w:val="char0"/>
  </w:style>
  <w:style w:type="character" w:styleId="char7" w:customStyle="1">
    <w:name w:val="Balloon Text Char"/>
    <w:rPr>
      <w:rFonts w:ascii="Tahoma" w:hAnsi="Tahoma" w:cs="Tahoma"/>
      <w:sz w:val="16"/>
      <w:szCs w:val="16"/>
    </w:rPr>
  </w:style>
  <w:style w:type="character" w:styleId="char8" w:customStyle="1">
    <w:name w:val="No Spacing Char"/>
    <w:rPr>
      <w:rFonts w:ascii="Courier New" w:hAnsi="Courier New" w:eastAsia="Times New Roman" w:cs="Courier New"/>
      <w:sz w:val="22"/>
      <w:szCs w:val="22"/>
      <w:lang w:eastAsia="ru-ru" w:bidi="ar-sa"/>
    </w:rPr>
  </w:style>
  <w:style w:type="character" w:styleId="char9" w:customStyle="1">
    <w:name w:val="reference-text"/>
    <w:basedOn w:val="char0"/>
  </w:style>
  <w:style w:type="character" w:styleId="char10" w:customStyle="1">
    <w:name w:val="mntl-inline-citation"/>
    <w:basedOn w:val="char0"/>
  </w:style>
  <w:style w:type="character" w:styleId="char11" w:customStyle="1">
    <w:name w:val="Footnote Text Char"/>
    <w:rPr>
      <w:rFonts w:ascii="Calibri" w:hAnsi="Calibri" w:eastAsia="Calibri" w:cs="Times New Roman"/>
      <w:sz w:val="20"/>
      <w:szCs w:val="20"/>
    </w:rPr>
  </w:style>
  <w:style w:type="character" w:styleId="char12">
    <w:name w:val="Footnote Reference"/>
    <w:rPr>
      <w:vertAlign w:val="superscript" ssSize="66" ssDist="20"/>
    </w:rPr>
  </w:style>
  <w:style w:type="character" w:styleId="char13" w:customStyle="1">
    <w:name w:val="Document Map Char"/>
    <w:rPr>
      <w:rFonts w:ascii="Tahoma" w:hAnsi="Tahoma" w:cs="Tahoma"/>
      <w:sz w:val="16"/>
      <w:szCs w:val="16"/>
    </w:rPr>
  </w:style>
  <w:style w:type="character" w:styleId="char14" w:customStyle="1">
    <w:name w:val="Font Style159"/>
    <w:rPr>
      <w:rFonts w:ascii="Times New Roman" w:hAnsi="Times New Roman"/>
      <w:spacing w:val="20" spc="78"/>
      <w:sz w:val="16"/>
    </w:rPr>
  </w:style>
  <w:style w:type="character" w:styleId="char15" w:customStyle="1">
    <w:name w:val="текст ВКР Знак"/>
    <w:rPr>
      <w:sz w:val="28"/>
      <w:szCs w:val="28"/>
    </w:rPr>
  </w:style>
  <w:style w:type="character" w:styleId="char16" w:customStyle="1">
    <w:name w:val="fontstyle21"/>
    <w:rPr>
      <w:rFonts w:ascii="FrutigerLTPro-LightCn" w:hAnsi="FrutigerLTPro-LightCn"/>
      <w:b w:val="0"/>
      <w:bCs w:val="0"/>
      <w:i w:val="0"/>
      <w:iCs w:val="0"/>
      <w:color w:val="242021"/>
      <w:sz w:val="26"/>
      <w:szCs w:val="26"/>
    </w:rPr>
  </w:style>
  <w:style w:type="character" w:styleId="char17">
    <w:name w:val="Strong"/>
    <w:rPr>
      <w:b/>
      <w:bCs/>
    </w:rPr>
  </w:style>
  <w:style w:type="character" w:styleId="char18" w:customStyle="1">
    <w:name w:val="Body Text Char"/>
    <w:rPr>
      <w:rFonts w:ascii="Times New Roman" w:hAnsi="Times New Roman" w:eastAsia="Times New Roman"/>
      <w:b/>
      <w:bCs/>
      <w:sz w:val="40"/>
      <w:szCs w:val="24"/>
    </w:rPr>
  </w:style>
  <w:style w:type="character" w:styleId="char19" w:customStyle="1">
    <w:name w:val="apple-converted-space"/>
    <w:basedOn w:val="char0"/>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Сетка таблицы"/>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 Id="rId9" Type="http://schemas.openxmlformats.org/officeDocument/2006/relationships/hyperlink" Target="https://petrsu.ru" TargetMode="External"/><Relationship Id="rId10" Type="http://schemas.openxmlformats.org/officeDocument/2006/relationships/hyperlink" Target="https://press.petrsu.ru/UNIPRESS/UNIPRESS.html" TargetMode="External"/><Relationship Id="rId11"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hyperlink" Target="http://childpsy.ru/lib/articles/id/10300.php" TargetMode="External"/><Relationship Id="rId14" Type="http://schemas.openxmlformats.org/officeDocument/2006/relationships/hyperlink" Target="https://cyberleninka.ru/article/n/problema-viktimnogo-lichnostnogo-tipa-v-psihologii" TargetMode="External"/><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jpeg"/><Relationship Id="rId21" Type="http://schemas.openxmlformats.org/officeDocument/2006/relationships/hyperlink" Target="http://scepsis.net/library/id_3322.html" TargetMode="External"/><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hyperlink" Target="http://www.fid.su/projects/research/digital-socialization-in-adolescents" TargetMode="External"/><Relationship Id="rId26" Type="http://schemas.openxmlformats.org/officeDocument/2006/relationships/hyperlink" Target="https://rosstat.gov.ru/folder/70843/document/100659" TargetMode="External"/><Relationship Id="rId27" Type="http://schemas.openxmlformats.org/officeDocument/2006/relationships/footer" Target="footer1.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rev.1206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dc:creator>
  <cp:keywords/>
  <dc:description/>
  <cp:lastModifiedBy/>
  <cp:revision>8</cp:revision>
  <cp:lastPrinted>2023-11-24T09:49:45Z</cp:lastPrinted>
  <dcterms:created xsi:type="dcterms:W3CDTF">2023-11-23T08:13:00Z</dcterms:created>
  <dcterms:modified xsi:type="dcterms:W3CDTF">2023-11-24T10:12:19Z</dcterms:modified>
</cp:coreProperties>
</file>