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26"/>
      </w:pPr>
      <w:r>
        <w:rPr>
          <w:noProof/>
        </w:rPr>
        <w:drawing>
          <wp:anchor distT="0" distB="0" distL="0" distR="0" simplePos="0" relativeHeight="251658241" behindDoc="0" locked="0" layoutInCell="0" hidden="0" allowOverlap="1">
            <wp:simplePos x="0" y="0"/>
            <wp:positionH relativeFrom="page">
              <wp:posOffset>367665</wp:posOffset>
            </wp:positionH>
            <wp:positionV relativeFrom="page">
              <wp:posOffset>212090</wp:posOffset>
            </wp:positionV>
            <wp:extent cx="1958340" cy="889635"/>
            <wp:effectExtent l="0" t="0" r="0" b="0"/>
            <wp:wrapSquare wrapText="largest"/>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a:extLst>
                        <a:ext uri="smNativeData">
                          <sm:smNativeData xmlns:sm="smNativeData" val="SMDATA_17_uO21Y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KIAACMAAAAAAAAAAAAAAAAAAABDAgAAAAAAAAAAAABOAQAADAwAAHkFAAAAAAAAQwIAAE4BAAAoAAAACAAAAAEAAAABAAAAMAAAABQAAAAAAAAAAAD//wAAAQAAAP//AAABAA=="/>
                        </a:ext>
                      </a:extLst>
                    </pic:cNvPicPr>
                  </pic:nvPicPr>
                  <pic:blipFill>
                    <a:blip r:embed="rId8"/>
                    <a:stretch>
                      <a:fillRect/>
                    </a:stretch>
                  </pic:blipFill>
                  <pic:spPr>
                    <a:xfrm>
                      <a:off x="0" y="0"/>
                      <a:ext cx="1958340" cy="889635"/>
                    </a:xfrm>
                    <a:prstGeom prst="rect">
                      <a:avLst/>
                    </a:prstGeom>
                    <a:noFill/>
                    <a:ln w="9525">
                      <a:noFill/>
                    </a:ln>
                  </pic:spPr>
                </pic:pic>
              </a:graphicData>
            </a:graphic>
          </wp:anchor>
        </w:drawing>
      </w:r>
      <w:r>
        <w:rPr>
          <w:color w:val="005a75"/>
        </w:rPr>
        <w:t xml:space="preserve">Réunion de grappe </w:t>
        <w:br w:type="textWrapping"/>
        <w:t>Bretagne – Pays de la Loire</w:t>
      </w:r>
      <w:r/>
    </w:p>
    <w:p>
      <w:pPr>
        <w:spacing w:after="57"/>
      </w:pPr>
      <w:r/>
    </w:p>
    <w:p>
      <w:pPr>
        <w:spacing w:after="57"/>
      </w:pPr>
      <w:r>
        <w:rPr>
          <w:u w:color="auto" w:val="single"/>
        </w:rPr>
        <w:t>Date</w:t>
      </w:r>
      <w:r>
        <w:rPr>
          <w:u w:color="ffffff" w:val="single"/>
        </w:rPr>
        <w:t> </w:t>
      </w:r>
      <w:r>
        <w:rPr>
          <w:color w:val="000000"/>
        </w:rPr>
        <w:t>: le 06</w:t>
      </w:r>
      <w:r>
        <w:t>/10/2022 à Pont-Château</w:t>
      </w:r>
    </w:p>
    <w:p>
      <w:pPr>
        <w:spacing w:before="0"/>
      </w:pPr>
      <w:r>
        <w:rPr>
          <w:u w:color="auto" w:val="single"/>
        </w:rPr>
        <w:t>Participants</w:t>
      </w:r>
      <w:r>
        <w:rPr>
          <w:u w:color="ffffff" w:val="single"/>
        </w:rPr>
        <w:t> </w:t>
      </w:r>
      <w:r>
        <w:rPr>
          <w:color w:val="000000"/>
        </w:rPr>
        <w:t>:</w:t>
      </w:r>
      <w:r/>
    </w:p>
    <w:p>
      <w:pPr>
        <w:spacing w:before="0"/>
        <w:jc w:val="left"/>
      </w:pPr>
      <w:r>
        <w:rPr>
          <w:b/>
        </w:rPr>
        <w:t>Animateur·rice·s</w:t>
      </w:r>
      <w:r>
        <w:t> : Frédérique Héry / Denis Prost</w:t>
      </w:r>
    </w:p>
    <w:p>
      <w:pPr>
        <w:spacing w:before="85" w:after="113"/>
      </w:pPr>
      <w:bookmarkStart w:id="0" w:name="_gjdgxs"/>
      <w:r/>
      <w:bookmarkEnd w:id="0"/>
      <w:r/>
      <w:r>
        <w:rPr>
          <w:b/>
        </w:rPr>
        <w:t>Territoires représentés</w:t>
      </w:r>
      <w:r>
        <w:t> :</w:t>
      </w:r>
    </w:p>
    <w:tbl>
      <w:tblPr>
        <w:tblStyle w:val="TableNormal"/>
        <w:name w:val="Tableau1"/>
        <w:tabOrder w:val="0"/>
        <w:jc w:val="left"/>
        <w:tblInd w:w="51" w:type="dxa"/>
        <w:tblW w:w="10180" w:type="dxa"/>
        <w:tblLook w:val="0600" w:firstRow="0" w:lastRow="0" w:firstColumn="0" w:lastColumn="0" w:noHBand="1" w:noVBand="1"/>
      </w:tblPr>
      <w:tblGrid>
        <w:gridCol w:w="790"/>
        <w:gridCol w:w="3972"/>
        <w:gridCol w:w="675"/>
        <w:gridCol w:w="4743"/>
      </w:tblGrid>
      <w:tr>
        <w:trPr>
          <w:tblHeader w:val="0"/>
          <w:cantSplit w:val="0"/>
          <w:trHeight w:val="348" w:hRule="atLeast"/>
        </w:trPr>
        <w:tc>
          <w:tcPr>
            <w:tcW w:w="790" w:type="dxa"/>
            <w:vAlign w:val="center"/>
            <w:shd w:val="solid" w:color="6FA8DC" tmshd="6553856, 14461039, 16777215"/>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Dept</w:t>
            </w:r>
          </w:p>
        </w:tc>
        <w:tc>
          <w:tcPr>
            <w:tcW w:w="3972" w:type="dxa"/>
            <w:vAlign w:val="center"/>
            <w:shd w:val="solid" w:color="6FA8DC" tmshd="6553856, 14461039, 16777215"/>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Territoires Bzh</w:t>
            </w:r>
          </w:p>
        </w:tc>
        <w:tc>
          <w:tcPr>
            <w:tcW w:w="675" w:type="dxa"/>
            <w:vAlign w:val="center"/>
            <w:shd w:val="solid" w:color="6FA8DC" tmshd="6553856, 14461039, 16777215"/>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r>
          </w:p>
        </w:tc>
        <w:tc>
          <w:tcPr>
            <w:tcW w:w="4743" w:type="dxa"/>
            <w:vAlign w:val="center"/>
            <w:shd w:val="solid" w:color="6FA8DC" tmshd="6553856, 14461039, 16777215"/>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Représenté / excusé</w:t>
            </w:r>
          </w:p>
        </w:tc>
      </w:tr>
      <w:tr>
        <w:trPr>
          <w:tblHeader w:val="0"/>
          <w:cantSplit w:val="0"/>
          <w:trHeight w:val="285"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22-56</w:t>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Centre Ouest Bretagne</w:t>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TH</w:t>
            </w:r>
            <w:r>
              <w:rPr>
                <w:rStyle w:val="char3"/>
              </w:rPr>
            </w:r>
            <w:r>
              <w:rPr>
                <w:rStyle w:val="char3"/>
              </w:rPr>
              <w:footnoteReference w:id="2"/>
            </w:r>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678"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22</w:t>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Saint-Brieuc Ploufragan</w:t>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PE</w:t>
            </w:r>
            <w:r>
              <w:rPr>
                <w:rStyle w:val="char3"/>
              </w:rPr>
            </w:r>
            <w:r>
              <w:rPr>
                <w:rStyle w:val="char3"/>
              </w:rPr>
              <w:footnoteReference w:id="3"/>
            </w:r>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270"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22</w:t>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Dinan agglomération</w:t>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TI</w:t>
            </w:r>
            <w:r>
              <w:rPr>
                <w:rStyle w:val="char3"/>
              </w:rPr>
            </w:r>
            <w:r>
              <w:rPr>
                <w:rStyle w:val="char3"/>
              </w:rPr>
              <w:footnoteReference w:id="4"/>
            </w:r>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270"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29</w:t>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Concarneau</w:t>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PE</w:t>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285"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i/>
                <w:iCs/>
              </w:rPr>
            </w:pPr>
            <w:r>
              <w:t>29</w:t>
            </w:r>
            <w:r>
              <w:rPr>
                <w:i/>
                <w:iCs/>
              </w:rPr>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i/>
                <w:iCs/>
              </w:rPr>
            </w:pPr>
            <w:r>
              <w:t>Saint Thégonnec Loc Éguiner</w:t>
            </w:r>
            <w:r>
              <w:rPr>
                <w:i/>
                <w:iCs/>
              </w:rPr>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i/>
                <w:iCs/>
              </w:rPr>
            </w:pPr>
            <w:r>
              <w:t>PE</w:t>
            </w:r>
            <w:r>
              <w:rPr>
                <w:i/>
                <w:iCs/>
              </w:rPr>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300"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29</w:t>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Ergué-Gabéric</w:t>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PE</w:t>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300"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35</w:t>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Rennes Le Blosne</w:t>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PE</w:t>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330"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35</w:t>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Saint-Méen le Grand</w:t>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PE</w:t>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330" w:hRule="atLeast"/>
        </w:trPr>
        <w:tc>
          <w:tcPr>
            <w:tcW w:w="790" w:type="dxa"/>
            <w:vAlign w:val="center"/>
            <w:shd w:val="none"/>
            <w:tcMar>
              <w:top w:w="0" w:type="dxa"/>
              <w:left w:w="113" w:type="dxa"/>
              <w:bottom w:w="0" w:type="dxa"/>
              <w:right w:w="108" w:type="dxa"/>
            </w:tcMar>
            <w:tcBorders>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i/>
                <w:iCs/>
              </w:rPr>
            </w:pPr>
            <w:r>
              <w:t>35</w:t>
            </w:r>
            <w:r>
              <w:rPr>
                <w:i/>
                <w:iCs/>
              </w:rPr>
            </w:r>
          </w:p>
        </w:tc>
        <w:tc>
          <w:tcPr>
            <w:tcW w:w="3972" w:type="dxa"/>
            <w:vAlign w:val="center"/>
            <w:shd w:val="none"/>
            <w:tcMar>
              <w:top w:w="0" w:type="dxa"/>
              <w:left w:w="113" w:type="dxa"/>
              <w:bottom w:w="0" w:type="dxa"/>
              <w:right w:w="108" w:type="dxa"/>
            </w:tcMar>
            <w:tcBorders>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i/>
                <w:iCs/>
              </w:rPr>
            </w:pPr>
            <w:r>
              <w:t>Pipriac Saint-Ganton</w:t>
            </w:r>
            <w:r>
              <w:rPr>
                <w:i/>
                <w:iCs/>
              </w:rPr>
            </w:r>
          </w:p>
        </w:tc>
        <w:tc>
          <w:tcPr>
            <w:tcW w:w="675" w:type="dxa"/>
            <w:vAlign w:val="center"/>
            <w:shd w:val="none"/>
            <w:tcMar>
              <w:top w:w="0" w:type="dxa"/>
              <w:left w:w="113" w:type="dxa"/>
              <w:bottom w:w="0" w:type="dxa"/>
              <w:right w:w="108" w:type="dxa"/>
            </w:tcMar>
            <w:tcBorders>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i/>
                <w:iCs/>
              </w:rPr>
            </w:pPr>
            <w:r>
              <w:t>TH</w:t>
            </w:r>
            <w:r>
              <w:rPr>
                <w:i/>
                <w:iCs/>
              </w:rPr>
            </w:r>
          </w:p>
        </w:tc>
        <w:tc>
          <w:tcPr>
            <w:tcW w:w="4743" w:type="dxa"/>
            <w:vAlign w:val="center"/>
            <w:shd w:val="none"/>
            <w:tcMar>
              <w:top w:w="0" w:type="dxa"/>
              <w:left w:w="113" w:type="dxa"/>
              <w:bottom w:w="0" w:type="dxa"/>
              <w:right w:w="108" w:type="dxa"/>
            </w:tcMar>
            <w:tcBorders>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285"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56</w:t>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Oust à Brocéliande Communauté</w:t>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PE</w:t>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285"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56</w:t>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Vannes Ménimur</w:t>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TH</w:t>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285" w:hRule="atLeast"/>
        </w:trPr>
        <w:tc>
          <w:tcPr>
            <w:tcW w:w="790" w:type="dxa"/>
            <w:vAlign w:val="center"/>
            <w:shd w:val="solid" w:color="6FA8DC" tmshd="6553856, 14461039, 16777215"/>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Dept</w:t>
            </w:r>
          </w:p>
        </w:tc>
        <w:tc>
          <w:tcPr>
            <w:tcW w:w="3972" w:type="dxa"/>
            <w:vAlign w:val="center"/>
            <w:shd w:val="solid" w:color="6FA8DC" tmshd="6553856, 14461039, 16777215"/>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Territoires PDL</w:t>
            </w:r>
          </w:p>
        </w:tc>
        <w:tc>
          <w:tcPr>
            <w:tcW w:w="675" w:type="dxa"/>
            <w:vAlign w:val="center"/>
            <w:shd w:val="solid" w:color="6FA8DC" tmshd="6553856, 14461039, 16777215"/>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r>
          </w:p>
        </w:tc>
        <w:tc>
          <w:tcPr>
            <w:tcW w:w="4743" w:type="dxa"/>
            <w:vAlign w:val="center"/>
            <w:shd w:val="solid" w:color="6FA8DC" tmshd="6553856, 14461039, 16777215"/>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Représenté / excusé</w:t>
            </w:r>
          </w:p>
        </w:tc>
      </w:tr>
      <w:tr>
        <w:trPr>
          <w:tblHeader w:val="0"/>
          <w:cantSplit w:val="0"/>
          <w:trHeight w:val="270"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44</w:t>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Nantes La Bottière</w:t>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PE</w:t>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285"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44</w:t>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Nantes Bellevue</w:t>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PE</w:t>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400"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44</w:t>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Rezé</w:t>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PE</w:t>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400"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44</w:t>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Nantes Métropole</w:t>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w:t>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285"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44</w:t>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Pont-Château</w:t>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TH</w:t>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285"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44</w:t>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Saint-Nazaire</w:t>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PE</w:t>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285" w:hRule="atLeast"/>
        </w:trPr>
        <w:tc>
          <w:tcPr>
            <w:tcW w:w="790" w:type="dxa"/>
            <w:vAlign w:val="center"/>
            <w:shd w:val="none"/>
            <w:tcMar>
              <w:top w:w="0" w:type="dxa"/>
              <w:left w:w="113" w:type="dxa"/>
              <w:bottom w:w="0" w:type="dxa"/>
              <w:right w:w="108" w:type="dxa"/>
            </w:tcMar>
            <w:tcBorders>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44</w:t>
            </w:r>
          </w:p>
        </w:tc>
        <w:tc>
          <w:tcPr>
            <w:tcW w:w="3972" w:type="dxa"/>
            <w:vAlign w:val="center"/>
            <w:shd w:val="none"/>
            <w:tcMar>
              <w:top w:w="0" w:type="dxa"/>
              <w:left w:w="113" w:type="dxa"/>
              <w:bottom w:w="0" w:type="dxa"/>
              <w:right w:w="108" w:type="dxa"/>
            </w:tcMar>
            <w:tcBorders>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Plessé</w:t>
            </w:r>
          </w:p>
        </w:tc>
        <w:tc>
          <w:tcPr>
            <w:tcW w:w="675" w:type="dxa"/>
            <w:vAlign w:val="center"/>
            <w:shd w:val="none"/>
            <w:tcMar>
              <w:top w:w="0" w:type="dxa"/>
              <w:left w:w="113" w:type="dxa"/>
              <w:bottom w:w="0" w:type="dxa"/>
              <w:right w:w="108" w:type="dxa"/>
            </w:tcMar>
            <w:tcBorders>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PE</w:t>
            </w:r>
          </w:p>
        </w:tc>
        <w:tc>
          <w:tcPr>
            <w:tcW w:w="4743" w:type="dxa"/>
            <w:vAlign w:val="center"/>
            <w:shd w:val="none"/>
            <w:tcMar>
              <w:top w:w="0" w:type="dxa"/>
              <w:left w:w="113" w:type="dxa"/>
              <w:bottom w:w="0" w:type="dxa"/>
              <w:right w:w="108" w:type="dxa"/>
            </w:tcMar>
            <w:tcBorders>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285" w:hRule="atLeast"/>
        </w:trPr>
        <w:tc>
          <w:tcPr>
            <w:tcW w:w="790" w:type="dxa"/>
            <w:vAlign w:val="center"/>
            <w:shd w:val="none"/>
            <w:tcMar>
              <w:top w:w="0" w:type="dxa"/>
              <w:left w:w="113" w:type="dxa"/>
              <w:bottom w:w="0" w:type="dxa"/>
              <w:right w:w="108" w:type="dxa"/>
            </w:tcMar>
            <w:tcBorders>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44</w:t>
            </w:r>
          </w:p>
        </w:tc>
        <w:tc>
          <w:tcPr>
            <w:tcW w:w="3972" w:type="dxa"/>
            <w:vAlign w:val="center"/>
            <w:shd w:val="none"/>
            <w:tcMar>
              <w:top w:w="0" w:type="dxa"/>
              <w:left w:w="113" w:type="dxa"/>
              <w:bottom w:w="0" w:type="dxa"/>
              <w:right w:w="108" w:type="dxa"/>
            </w:tcMar>
            <w:tcBorders>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Loireauxence</w:t>
            </w:r>
          </w:p>
        </w:tc>
        <w:tc>
          <w:tcPr>
            <w:tcW w:w="675" w:type="dxa"/>
            <w:vAlign w:val="center"/>
            <w:shd w:val="none"/>
            <w:tcMar>
              <w:top w:w="0" w:type="dxa"/>
              <w:left w:w="113" w:type="dxa"/>
              <w:bottom w:w="0" w:type="dxa"/>
              <w:right w:w="108" w:type="dxa"/>
            </w:tcMar>
            <w:tcBorders>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PE</w:t>
            </w:r>
          </w:p>
        </w:tc>
        <w:tc>
          <w:tcPr>
            <w:tcW w:w="4743" w:type="dxa"/>
            <w:vAlign w:val="center"/>
            <w:shd w:val="none"/>
            <w:tcMar>
              <w:top w:w="0" w:type="dxa"/>
              <w:left w:w="113" w:type="dxa"/>
              <w:bottom w:w="0" w:type="dxa"/>
              <w:right w:w="108" w:type="dxa"/>
            </w:tcMar>
            <w:tcBorders>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285"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49</w:t>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Saumur / Montreuil-Bellay</w:t>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TH</w:t>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285"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53</w:t>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Laval Saint-Nicolas</w:t>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PE</w:t>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285"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53</w:t>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Mayenne</w:t>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PE</w:t>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r>
        <w:trPr>
          <w:tblHeader w:val="0"/>
          <w:cantSplit w:val="0"/>
          <w:trHeight w:val="285" w:hRule="atLeast"/>
        </w:trPr>
        <w:tc>
          <w:tcPr>
            <w:tcW w:w="790"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72</w:t>
            </w:r>
          </w:p>
        </w:tc>
        <w:tc>
          <w:tcPr>
            <w:tcW w:w="3972"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rPr>
                <w:b/>
                <w:bCs/>
              </w:rPr>
            </w:pPr>
            <w:r>
              <w:rPr>
                <w:b/>
                <w:bCs/>
              </w:rPr>
              <w:t>La Flèche</w:t>
            </w:r>
          </w:p>
        </w:tc>
        <w:tc>
          <w:tcPr>
            <w:tcW w:w="675"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pPr>
              <w:pStyle w:val="para22"/>
              <w:spacing w:before="0" w:after="0"/>
              <w:jc w:val="left"/>
              <w:suppressAutoHyphens/>
              <w:hyphenationLines w:val="0"/>
              <w:widowControl/>
            </w:pPr>
            <w:r>
              <w:t>PE</w:t>
            </w:r>
          </w:p>
        </w:tc>
        <w:tc>
          <w:tcPr>
            <w:tcW w:w="4743" w:type="dxa"/>
            <w:vAlign w:val="center"/>
            <w:shd w:val="none"/>
            <w:tcMar>
              <w:top w:w="0" w:type="dxa"/>
              <w:left w:w="113"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72867256" protected="0"/>
          </w:tcPr>
          <w:p/>
        </w:tc>
      </w:tr>
    </w:tbl>
    <w:p>
      <w:pPr>
        <w:pStyle w:val="para26"/>
      </w:pPr>
      <w:r>
        <w:br w:type="page"/>
      </w:r>
      <w:r>
        <w:t>Table des matières</w:t>
      </w:r>
    </w:p>
    <w:p>
      <w:pPr>
        <w:pStyle w:val="para27"/>
        <w:tabs defTabSz="708">
          <w:tab w:val="clear" w:pos="9638" w:leader="dot"/>
          <w:tab w:val="right" w:pos="9679" w:leader="dot"/>
        </w:tabs>
      </w:pPr>
      <w:r>
        <w:fldChar w:fldCharType="begin"/>
      </w:r>
      <w:r>
        <w:instrText xml:space="preserve"> TOC \o \h </w:instrText>
      </w:r>
      <w:r>
        <w:fldChar w:fldCharType="separate"/>
      </w:r>
      <w:hyperlink w:anchor="__RefHeading___Toc1030_3697335794" w:history="1">
        <w:r>
          <w:rPr>
            <w:rStyle w:val="char2"/>
          </w:rPr>
          <w:t>I. L’EBE, points communs et différences avec les entreprises classiques</w:t>
          <w:tab/>
          <w:t>2</w:t>
        </w:r>
      </w:hyperlink>
    </w:p>
    <w:p>
      <w:pPr>
        <w:pStyle w:val="para28"/>
        <w:tabs defTabSz="708">
          <w:tab w:val="clear" w:pos="9355" w:leader="dot"/>
          <w:tab w:val="right" w:pos="9679" w:leader="dot"/>
        </w:tabs>
      </w:pPr>
      <w:hyperlink w:anchor="__RefHeading___Toc2438_31926222" w:history="1">
        <w:r>
          <w:rPr>
            <w:rStyle w:val="char2"/>
          </w:rPr>
          <w:t>A. Points communs</w:t>
          <w:tab/>
          <w:t>2</w:t>
        </w:r>
      </w:hyperlink>
    </w:p>
    <w:p>
      <w:pPr>
        <w:pStyle w:val="para28"/>
        <w:tabs defTabSz="708">
          <w:tab w:val="clear" w:pos="9355" w:leader="dot"/>
          <w:tab w:val="right" w:pos="9679" w:leader="dot"/>
        </w:tabs>
      </w:pPr>
      <w:hyperlink w:anchor="__RefHeading___Toc1032_3697335794" w:history="1">
        <w:r>
          <w:rPr>
            <w:rStyle w:val="char2"/>
          </w:rPr>
          <w:t>B. Différences</w:t>
          <w:tab/>
          <w:t>3</w:t>
        </w:r>
      </w:hyperlink>
    </w:p>
    <w:p>
      <w:pPr>
        <w:pStyle w:val="para34"/>
        <w:tabs defTabSz="708">
          <w:tab w:val="clear" w:pos="9072" w:leader="dot"/>
          <w:tab w:val="right" w:pos="9679" w:leader="dot"/>
        </w:tabs>
      </w:pPr>
      <w:hyperlink w:anchor="__RefHeading___Toc2440_31926222" w:history="1">
        <w:r>
          <w:rPr>
            <w:rStyle w:val="char2"/>
          </w:rPr>
          <w:t>1. La finalité</w:t>
          <w:tab/>
          <w:t>3</w:t>
        </w:r>
      </w:hyperlink>
    </w:p>
    <w:p>
      <w:pPr>
        <w:pStyle w:val="para34"/>
        <w:tabs defTabSz="708">
          <w:tab w:val="clear" w:pos="9072" w:leader="dot"/>
          <w:tab w:val="right" w:pos="9679" w:leader="dot"/>
        </w:tabs>
      </w:pPr>
      <w:hyperlink w:anchor="__RefHeading___Toc2442_31926222" w:history="1">
        <w:r>
          <w:rPr>
            <w:rStyle w:val="char2"/>
          </w:rPr>
          <w:t>2. L’embauche sans sélection</w:t>
          <w:tab/>
          <w:t>3</w:t>
        </w:r>
      </w:hyperlink>
    </w:p>
    <w:p>
      <w:pPr>
        <w:pStyle w:val="para34"/>
        <w:tabs defTabSz="708">
          <w:tab w:val="clear" w:pos="9072" w:leader="dot"/>
          <w:tab w:val="right" w:pos="9679" w:leader="dot"/>
        </w:tabs>
      </w:pPr>
      <w:hyperlink w:anchor="__RefHeading___Toc2444_31926222" w:history="1">
        <w:r>
          <w:rPr>
            <w:rStyle w:val="char2"/>
          </w:rPr>
          <w:t>3. La croissance rapide des effectifs</w:t>
          <w:tab/>
          <w:t>3</w:t>
        </w:r>
      </w:hyperlink>
    </w:p>
    <w:p>
      <w:pPr>
        <w:pStyle w:val="para34"/>
        <w:tabs defTabSz="708">
          <w:tab w:val="clear" w:pos="9072" w:leader="dot"/>
          <w:tab w:val="right" w:pos="9679" w:leader="dot"/>
        </w:tabs>
      </w:pPr>
      <w:hyperlink w:anchor="__RefHeading___Toc2446_31926222" w:history="1">
        <w:r>
          <w:rPr>
            <w:rStyle w:val="char2"/>
          </w:rPr>
          <w:t>4. Le management</w:t>
          <w:tab/>
          <w:t>3</w:t>
        </w:r>
      </w:hyperlink>
    </w:p>
    <w:p>
      <w:pPr>
        <w:pStyle w:val="para34"/>
        <w:tabs defTabSz="708">
          <w:tab w:val="clear" w:pos="9072" w:leader="dot"/>
          <w:tab w:val="right" w:pos="9679" w:leader="dot"/>
        </w:tabs>
      </w:pPr>
      <w:hyperlink w:anchor="__RefHeading___Toc2448_31926222" w:history="1">
        <w:r>
          <w:rPr>
            <w:rStyle w:val="char2"/>
          </w:rPr>
          <w:t>5. L’inscription dans un territoire et dans un projet</w:t>
          <w:tab/>
          <w:t>3</w:t>
        </w:r>
      </w:hyperlink>
    </w:p>
    <w:p>
      <w:pPr>
        <w:pStyle w:val="para34"/>
        <w:tabs defTabSz="708">
          <w:tab w:val="clear" w:pos="9072" w:leader="dot"/>
          <w:tab w:val="right" w:pos="9679" w:leader="dot"/>
        </w:tabs>
      </w:pPr>
      <w:hyperlink w:anchor="__RefHeading___Toc2450_31926222" w:history="1">
        <w:r>
          <w:rPr>
            <w:rStyle w:val="char2"/>
          </w:rPr>
          <w:t>6. Le modèle économique</w:t>
          <w:tab/>
          <w:t>3</w:t>
        </w:r>
      </w:hyperlink>
    </w:p>
    <w:p>
      <w:pPr>
        <w:pStyle w:val="para34"/>
        <w:tabs defTabSz="708">
          <w:tab w:val="clear" w:pos="9072" w:leader="dot"/>
          <w:tab w:val="right" w:pos="9679" w:leader="dot"/>
        </w:tabs>
      </w:pPr>
      <w:hyperlink w:anchor="__RefHeading___Toc2452_31926222" w:history="1">
        <w:r>
          <w:rPr>
            <w:rStyle w:val="char2"/>
          </w:rPr>
          <w:t>7. Les contraintes sur les activités</w:t>
          <w:tab/>
          <w:t>4</w:t>
        </w:r>
      </w:hyperlink>
    </w:p>
    <w:p>
      <w:pPr>
        <w:pStyle w:val="para28"/>
        <w:tabs defTabSz="708">
          <w:tab w:val="clear" w:pos="9355" w:leader="dot"/>
          <w:tab w:val="right" w:pos="9679" w:leader="dot"/>
        </w:tabs>
      </w:pPr>
      <w:hyperlink w:anchor="__RefHeading___Toc2454_31926222" w:history="1">
        <w:r>
          <w:rPr>
            <w:rStyle w:val="char2"/>
          </w:rPr>
          <w:t>C. Question soulevée lors des échanges</w:t>
          <w:tab/>
          <w:t>4</w:t>
        </w:r>
      </w:hyperlink>
    </w:p>
    <w:p>
      <w:pPr>
        <w:pStyle w:val="para27"/>
        <w:tabs defTabSz="708">
          <w:tab w:val="clear" w:pos="9638" w:leader="dot"/>
          <w:tab w:val="right" w:pos="9679" w:leader="dot"/>
        </w:tabs>
      </w:pPr>
      <w:hyperlink w:anchor="__RefHeading___Toc2335_2169280976" w:history="1">
        <w:r>
          <w:rPr>
            <w:rStyle w:val="char2"/>
          </w:rPr>
          <w:t>II. Visite d’ESPACEA</w:t>
          <w:tab/>
          <w:t>4</w:t>
        </w:r>
      </w:hyperlink>
    </w:p>
    <w:p>
      <w:pPr>
        <w:pStyle w:val="para28"/>
        <w:tabs defTabSz="708">
          <w:tab w:val="clear" w:pos="9355" w:leader="dot"/>
          <w:tab w:val="right" w:pos="9679" w:leader="dot"/>
        </w:tabs>
      </w:pPr>
      <w:hyperlink w:anchor="__RefHeading___Toc2456_31926222" w:history="1">
        <w:r>
          <w:rPr>
            <w:rStyle w:val="char2"/>
          </w:rPr>
          <w:t>A. Visite des locaux</w:t>
          <w:tab/>
          <w:t>4</w:t>
        </w:r>
      </w:hyperlink>
    </w:p>
    <w:p>
      <w:pPr>
        <w:pStyle w:val="para28"/>
        <w:tabs defTabSz="708">
          <w:tab w:val="clear" w:pos="9355" w:leader="dot"/>
          <w:tab w:val="right" w:pos="9679" w:leader="dot"/>
        </w:tabs>
      </w:pPr>
      <w:hyperlink w:anchor="__RefHeading___Toc2458_31926222" w:history="1">
        <w:r>
          <w:rPr>
            <w:rStyle w:val="char2"/>
          </w:rPr>
          <w:t>B. Retour d’expérience de l’équipe de direction</w:t>
          <w:tab/>
          <w:t>4</w:t>
        </w:r>
      </w:hyperlink>
    </w:p>
    <w:p>
      <w:pPr>
        <w:pStyle w:val="para27"/>
        <w:tabs defTabSz="708">
          <w:tab w:val="clear" w:pos="9638" w:leader="dot"/>
          <w:tab w:val="right" w:pos="9679" w:leader="dot"/>
        </w:tabs>
      </w:pPr>
      <w:hyperlink w:anchor="__RefHeading___Toc1036_3697335794" w:history="1">
        <w:r>
          <w:rPr>
            <w:rStyle w:val="char2"/>
          </w:rPr>
          <w:t>III. Actualités</w:t>
          <w:tab/>
          <w:t>5</w:t>
        </w:r>
      </w:hyperlink>
    </w:p>
    <w:p>
      <w:pPr>
        <w:pStyle w:val="para28"/>
        <w:tabs defTabSz="708">
          <w:tab w:val="clear" w:pos="9355" w:leader="dot"/>
          <w:tab w:val="right" w:pos="9679" w:leader="dot"/>
        </w:tabs>
      </w:pPr>
      <w:hyperlink w:anchor="__RefHeading___Toc1038_3697335794" w:history="1">
        <w:r>
          <w:rPr>
            <w:rStyle w:val="char2"/>
          </w:rPr>
          <w:t>A. Guide sur la participation ATD</w:t>
          <w:tab/>
          <w:t>5</w:t>
        </w:r>
      </w:hyperlink>
    </w:p>
    <w:p>
      <w:pPr>
        <w:pStyle w:val="para28"/>
        <w:tabs defTabSz="708">
          <w:tab w:val="clear" w:pos="9355" w:leader="dot"/>
          <w:tab w:val="right" w:pos="9679" w:leader="dot"/>
        </w:tabs>
      </w:pPr>
      <w:hyperlink w:anchor="__RefHeading___Toc1040_3697335794" w:history="1">
        <w:r>
          <w:rPr>
            <w:rStyle w:val="char2"/>
          </w:rPr>
          <w:t>B. Grève du Chômage</w:t>
          <w:tab/>
          <w:t>5</w:t>
        </w:r>
      </w:hyperlink>
    </w:p>
    <w:p>
      <w:pPr>
        <w:pStyle w:val="para28"/>
        <w:tabs defTabSz="708">
          <w:tab w:val="clear" w:pos="9355" w:leader="dot"/>
          <w:tab w:val="right" w:pos="9679" w:leader="dot"/>
        </w:tabs>
      </w:pPr>
      <w:hyperlink w:anchor="__RefHeading___Toc1042_3697335794" w:history="1">
        <w:r>
          <w:rPr>
            <w:rStyle w:val="char2"/>
          </w:rPr>
          <w:t>C. Clause de revoyure – amendement soupape.</w:t>
          <w:tab/>
          <w:t>5</w:t>
        </w:r>
      </w:hyperlink>
    </w:p>
    <w:p>
      <w:pPr>
        <w:pStyle w:val="para28"/>
        <w:tabs defTabSz="708">
          <w:tab w:val="clear" w:pos="9355" w:leader="dot"/>
          <w:tab w:val="right" w:pos="9679" w:leader="dot"/>
        </w:tabs>
      </w:pPr>
      <w:hyperlink w:anchor="__RefHeading___Toc1044_3697335794" w:history="1">
        <w:r>
          <w:rPr>
            <w:rStyle w:val="char2"/>
          </w:rPr>
          <w:t>D. Nouvelles habilitations</w:t>
          <w:tab/>
          <w:t>5</w:t>
        </w:r>
      </w:hyperlink>
    </w:p>
    <w:p>
      <w:pPr>
        <w:pStyle w:val="para28"/>
        <w:tabs defTabSz="708">
          <w:tab w:val="clear" w:pos="9355" w:leader="dot"/>
          <w:tab w:val="right" w:pos="9679" w:leader="dot"/>
        </w:tabs>
      </w:pPr>
      <w:hyperlink w:anchor="__RefHeading___Toc1046_3697335794" w:history="1">
        <w:r>
          <w:rPr>
            <w:rStyle w:val="char2"/>
          </w:rPr>
          <w:t>E. Animation régionale</w:t>
          <w:tab/>
          <w:t>6</w:t>
        </w:r>
      </w:hyperlink>
    </w:p>
    <w:p>
      <w:pPr>
        <w:pStyle w:val="para27"/>
        <w:tabs defTabSz="708">
          <w:tab w:val="clear" w:pos="9638" w:leader="dot"/>
          <w:tab w:val="right" w:pos="9679" w:leader="dot"/>
        </w:tabs>
      </w:pPr>
      <w:hyperlink w:anchor="__RefHeading___Toc3547_983831226" w:history="1">
        <w:r>
          <w:rPr>
            <w:rStyle w:val="char2"/>
          </w:rPr>
          <w:t xml:space="preserve">​ </w:t>
        </w:r>
        <w:r>
          <w:rPr>
            <w:rStyle w:val="char2"/>
          </w:rPr>
          <w:t>Quelle direction pour les EBE ?</w:t>
          <w:tab/>
          <w:t>6</w:t>
        </w:r>
      </w:hyperlink>
    </w:p>
    <w:p>
      <w:pPr>
        <w:pStyle w:val="para28"/>
        <w:tabs defTabSz="708">
          <w:tab w:val="clear" w:pos="9355" w:leader="dot"/>
          <w:tab w:val="right" w:pos="9679" w:leader="dot"/>
        </w:tabs>
      </w:pPr>
      <w:hyperlink w:anchor="__RefHeading___Toc1048_3697335794" w:history="1">
        <w:r>
          <w:rPr>
            <w:rStyle w:val="char2"/>
          </w:rPr>
          <w:t>1)  Restitution des ateliers</w:t>
          <w:tab/>
          <w:t>6</w:t>
        </w:r>
      </w:hyperlink>
    </w:p>
    <w:p>
      <w:pPr>
        <w:pStyle w:val="para28"/>
        <w:tabs defTabSz="708">
          <w:tab w:val="clear" w:pos="9355" w:leader="dot"/>
          <w:tab w:val="right" w:pos="9679" w:leader="dot"/>
        </w:tabs>
      </w:pPr>
      <w:hyperlink w:anchor="__RefHeading___Toc1050_3697335794" w:history="1">
        <w:r>
          <w:rPr>
            <w:rStyle w:val="char2"/>
          </w:rPr>
          <w:t>2)  Témoignage de Pauline Bommé, cheffe de projet à Pont-Château</w:t>
          <w:tab/>
          <w:t>6</w:t>
        </w:r>
      </w:hyperlink>
    </w:p>
    <w:p>
      <w:pPr>
        <w:pStyle w:val="para27"/>
        <w:tabs defTabSz="708">
          <w:tab w:val="clear" w:pos="9638" w:leader="dot"/>
          <w:tab w:val="right" w:pos="9679" w:leader="dot"/>
        </w:tabs>
      </w:pPr>
      <w:r>
        <w:fldChar w:fldCharType="end"/>
      </w:r>
      <w:hyperlink w:anchor="__RefHeading___Toc1052_3697335794" w:history="1">
        <w:r>
          <w:rPr>
            <w:rStyle w:val="char2"/>
          </w:rPr>
          <w:t xml:space="preserve">​ </w:t>
        </w:r>
        <w:r>
          <w:rPr>
            <w:rStyle w:val="char2"/>
          </w:rPr>
          <w:t>Agenda</w:t>
          <w:tab/>
          <w:t>8</w:t>
        </w:r>
      </w:hyperlink>
    </w:p>
    <w:p>
      <w:pPr>
        <w:rPr>
          <w:i/>
          <w:iCs/>
        </w:rPr>
      </w:pPr>
      <w:r/>
      <w:bookmarkStart w:id="4" w:name="__RefHeading___Toc1835_983831226"/>
      <w:r/>
      <w:bookmarkEnd w:id="4"/>
      <w:r/>
      <w:r>
        <w:rPr>
          <w:i/>
          <w:iCs/>
        </w:rPr>
        <w:t>Nous sommes nombreux (44 !) et commençons par une présentation collective en se regroupant successivement par Région, Département, et statut dans le projet : salarié·e·s d’équipe projet, (futur·e·s) directeur·rice·s et encadrant·e·s d’EBE, volontaires pour le projet, bénévoles, élues. Cet exercice met en évidence l’importance de l’engagement bénévole dans le projet.</w:t>
      </w:r>
      <w:r>
        <w:rPr>
          <w:i/>
          <w:iCs/>
        </w:rPr>
      </w:r>
    </w:p>
    <w:p>
      <w:pPr>
        <w:pStyle w:val="para3"/>
        <w:numPr>
          <w:ilvl w:val="0"/>
          <w:numId w:val="2"/>
        </w:numPr>
        <w:ind w:left="0" w:firstLine="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1B779E" tmshd="1677721856, 0, 10385179"/>
      </w:pPr>
      <w:bookmarkStart w:id="5" w:name="__RefHeading___Toc1030_3697335794"/>
      <w:r/>
      <w:bookmarkStart w:id="6" w:name="_TM000014"/>
      <w:r/>
      <w:bookmarkEnd w:id="5"/>
      <w:r>
        <w:t>L’EBE, points communs et différences avec les entreprises classiques</w:t>
      </w:r>
      <w:bookmarkEnd w:id="6"/>
      <w:r/>
    </w:p>
    <w:p>
      <w:r>
        <w:t>Suite à un travail en atelier sur ces deux questions, les points suivants ressortent :</w:t>
      </w:r>
    </w:p>
    <w:p>
      <w:pPr>
        <w:pStyle w:val="para5"/>
        <w:numPr>
          <w:ilvl w:val="1"/>
          <w:numId w:val="2"/>
        </w:numPr>
        <w:ind w:left="340" w:hanging="360"/>
      </w:pPr>
      <w:bookmarkStart w:id="7" w:name="__RefHeading___Toc2438_31926222"/>
      <w:r/>
      <w:bookmarkEnd w:id="7"/>
      <w:r>
        <w:t>Points communs</w:t>
      </w:r>
      <w:bookmarkStart w:id="8" w:name="__RefHeading___Toc1837_983831226"/>
      <w:r/>
      <w:bookmarkEnd w:id="8"/>
      <w:r/>
    </w:p>
    <w:p>
      <w:pPr>
        <w:pStyle w:val="para37"/>
        <w:numPr>
          <w:ilvl w:val="0"/>
          <w:numId w:val="5"/>
        </w:numPr>
        <w:ind w:left="360" w:hanging="360"/>
      </w:pPr>
      <w:r>
        <w:rPr>
          <w:b/>
          <w:bCs/>
        </w:rPr>
        <w:t>l'aspect économique</w:t>
      </w:r>
      <w:r>
        <w:t xml:space="preserve"> avec un chiffre d'affaires à trouver et un équilibre économique à construire qui demande d’être dans une dynamique de développement économique</w:t>
      </w:r>
      <w:r>
        <w:rPr>
          <w:rFonts w:eastAsia="FreeSans"/>
        </w:rPr>
        <w:t> ;</w:t>
      </w:r>
      <w:r/>
    </w:p>
    <w:p>
      <w:pPr>
        <w:pStyle w:val="para36"/>
        <w:numPr>
          <w:ilvl w:val="0"/>
          <w:numId w:val="5"/>
        </w:numPr>
        <w:ind w:left="360" w:hanging="360"/>
      </w:pPr>
      <w:r>
        <w:t>l</w:t>
      </w:r>
      <w:r>
        <w:rPr>
          <w:b/>
          <w:bCs/>
        </w:rPr>
        <w:t>e développement d’activités</w:t>
      </w:r>
      <w:r>
        <w:t xml:space="preserve"> à partir de besoins identifiés ;</w:t>
      </w:r>
    </w:p>
    <w:p>
      <w:pPr>
        <w:pStyle w:val="para36"/>
        <w:numPr>
          <w:ilvl w:val="0"/>
          <w:numId w:val="5"/>
        </w:numPr>
        <w:ind w:left="360" w:hanging="360"/>
      </w:pPr>
      <w:r>
        <w:rPr>
          <w:b/>
          <w:bCs/>
        </w:rPr>
        <w:t>des services de qualité à assurer</w:t>
      </w:r>
      <w:r>
        <w:t xml:space="preserve"> auprès d’une clientèle</w:t>
      </w:r>
    </w:p>
    <w:p>
      <w:pPr>
        <w:pStyle w:val="para36"/>
        <w:numPr>
          <w:ilvl w:val="0"/>
          <w:numId w:val="5"/>
        </w:numPr>
        <w:ind w:left="360" w:hanging="360"/>
      </w:pPr>
      <w:r>
        <w:rPr>
          <w:b/>
          <w:bCs/>
        </w:rPr>
        <w:t>le respect de la réglementation et du droit du travail</w:t>
      </w:r>
      <w:r>
        <w:t xml:space="preserve"> - les EBE sont des entreprises de droit commun</w:t>
      </w:r>
      <w:r>
        <w:rPr>
          <w:rFonts w:eastAsia="FreeSans"/>
        </w:rPr>
        <w:t xml:space="preserve"> - </w:t>
      </w:r>
      <w:r>
        <w:t>en particulier en matière de représentation du personnel, de conditions de travail.</w:t>
      </w:r>
    </w:p>
    <w:p>
      <w:pPr>
        <w:pStyle w:val="para5"/>
        <w:numPr>
          <w:ilvl w:val="1"/>
          <w:numId w:val="2"/>
        </w:numPr>
        <w:ind w:left="340" w:hanging="360"/>
      </w:pPr>
      <w:bookmarkStart w:id="9" w:name="__RefHeading___Toc1032_3697335794"/>
      <w:r/>
      <w:bookmarkStart w:id="10" w:name="_TM000002"/>
      <w:r/>
      <w:bookmarkEnd w:id="9"/>
      <w:r>
        <w:t>Différences</w:t>
      </w:r>
      <w:bookmarkEnd w:id="10"/>
      <w:r/>
    </w:p>
    <w:p>
      <w:pPr>
        <w:pStyle w:val="para6"/>
        <w:numPr>
          <w:ilvl w:val="2"/>
          <w:numId w:val="2"/>
        </w:numPr>
        <w:ind w:left="340" w:hanging="360"/>
      </w:pPr>
      <w:bookmarkStart w:id="11" w:name="__RefHeading___Toc2440_31926222"/>
      <w:r/>
      <w:bookmarkStart w:id="12" w:name="_TM000021"/>
      <w:r/>
      <w:bookmarkEnd w:id="11"/>
      <w:r>
        <w:t>La finalité</w:t>
      </w:r>
      <w:bookmarkEnd w:id="12"/>
      <w:r/>
    </w:p>
    <w:p>
      <w:r>
        <w:rPr>
          <w:rFonts w:eastAsia="Calibri"/>
          <w:color w:val="000000"/>
        </w:rPr>
        <w:t xml:space="preserve">La finalité de l’EBE est l'emploi de personnes privées durablement d'emploi, </w:t>
      </w:r>
      <w:r>
        <w:rPr>
          <w:rFonts w:eastAsia="Calibri"/>
          <w:b/>
          <w:bCs/>
          <w:color w:val="000000"/>
        </w:rPr>
        <w:t>On est là pour la production d'emplois avant la production issues des activités</w:t>
      </w:r>
      <w:r>
        <w:rPr>
          <w:rFonts w:eastAsia="Calibri"/>
          <w:color w:val="000000"/>
        </w:rPr>
        <w:t xml:space="preserve">. </w:t>
      </w:r>
      <w:r>
        <w:t xml:space="preserve">On veut donner envie aux personnes de retourner dans l'activité, </w:t>
      </w:r>
      <w:r>
        <w:rPr>
          <w:b/>
          <w:bCs/>
        </w:rPr>
        <w:t xml:space="preserve">l'objectif premier n’est pas le profit mais l'insertion dans l’emploi. </w:t>
      </w:r>
      <w:r/>
    </w:p>
    <w:p>
      <w:pPr>
        <w:pStyle w:val="para6"/>
        <w:numPr>
          <w:ilvl w:val="2"/>
          <w:numId w:val="2"/>
        </w:numPr>
        <w:ind w:left="340" w:hanging="360"/>
      </w:pPr>
      <w:bookmarkStart w:id="13" w:name="__RefHeading___Toc2442_31926222"/>
      <w:r/>
      <w:bookmarkStart w:id="14" w:name="_TM000022"/>
      <w:r/>
      <w:bookmarkEnd w:id="13"/>
      <w:r>
        <w:t>L’embauche sans sélection</w:t>
      </w:r>
      <w:bookmarkEnd w:id="14"/>
      <w:r/>
    </w:p>
    <w:p>
      <w:pPr>
        <w:rPr>
          <w:rFonts w:eastAsia="Calibri"/>
          <w:color w:val="000000"/>
        </w:rPr>
      </w:pPr>
      <w:r>
        <w:rPr>
          <w:rFonts w:eastAsia="Calibri"/>
          <w:color w:val="000000"/>
        </w:rPr>
        <w:t xml:space="preserve">Elle oblige l’EBE à </w:t>
      </w:r>
      <w:r>
        <w:rPr>
          <w:rFonts w:eastAsia="Calibri"/>
          <w:b/>
          <w:bCs/>
          <w:color w:val="000000"/>
        </w:rPr>
        <w:t xml:space="preserve">adapter l'emploi à la personne </w:t>
      </w:r>
      <w:r>
        <w:rPr>
          <w:rFonts w:eastAsia="Calibri"/>
          <w:color w:val="000000"/>
        </w:rPr>
        <w:t xml:space="preserve">plutôt que l'inverse et à </w:t>
      </w:r>
      <w:r>
        <w:rPr>
          <w:rFonts w:eastAsia="Calibri"/>
          <w:b/>
          <w:bCs/>
          <w:color w:val="000000"/>
        </w:rPr>
        <w:t>lui permettre de découvrir ses compétences</w:t>
      </w:r>
      <w:r>
        <w:rPr>
          <w:rFonts w:eastAsia="Calibri"/>
          <w:color w:val="000000"/>
        </w:rPr>
        <w:t xml:space="preserve">, les domaines où elle peut s'épanouir. </w:t>
      </w:r>
      <w:r>
        <w:rPr>
          <w:rFonts w:eastAsia="Calibri"/>
          <w:color w:val="000000"/>
        </w:rPr>
      </w:r>
    </w:p>
    <w:p>
      <w:pPr>
        <w:pStyle w:val="para6"/>
        <w:numPr>
          <w:ilvl w:val="2"/>
          <w:numId w:val="2"/>
        </w:numPr>
        <w:ind w:left="340" w:hanging="360"/>
      </w:pPr>
      <w:bookmarkStart w:id="15" w:name="__RefHeading___Toc2444_31926222"/>
      <w:r/>
      <w:bookmarkEnd w:id="15"/>
      <w:r>
        <w:t>La croissance rapide des effectifs</w:t>
      </w:r>
    </w:p>
    <w:p>
      <w:r>
        <w:t>C’est une nécessité pour atteindre l’objectif d’exhaustivité dans un délai raisonnable et un</w:t>
      </w:r>
      <w:r>
        <w:rPr>
          <w:b/>
          <w:bCs/>
        </w:rPr>
        <w:t xml:space="preserve"> critère important de réussite de l’EBE</w:t>
      </w:r>
      <w:r>
        <w:t>.</w:t>
      </w:r>
    </w:p>
    <w:p>
      <w:pPr>
        <w:pStyle w:val="para6"/>
        <w:numPr>
          <w:ilvl w:val="2"/>
          <w:numId w:val="2"/>
        </w:numPr>
        <w:ind w:left="340" w:hanging="360"/>
      </w:pPr>
      <w:bookmarkStart w:id="16" w:name="__RefHeading___Toc2446_31926222"/>
      <w:r/>
      <w:bookmarkStart w:id="17" w:name="_TM000023"/>
      <w:r/>
      <w:bookmarkEnd w:id="16"/>
      <w:r>
        <w:t>Le management</w:t>
      </w:r>
      <w:bookmarkEnd w:id="17"/>
      <w:r/>
    </w:p>
    <w:p>
      <w:pPr>
        <w:keepNext/>
        <w:rPr>
          <w:rFonts w:eastAsia="Calibri"/>
          <w:color w:val="000000"/>
        </w:rPr>
      </w:pPr>
      <w:r>
        <w:rPr>
          <w:rFonts w:eastAsia="Calibri"/>
          <w:color w:val="000000"/>
        </w:rPr>
        <w:t>Il doit être :</w:t>
      </w:r>
    </w:p>
    <w:p>
      <w:pPr>
        <w:pStyle w:val="para37"/>
        <w:numPr>
          <w:ilvl w:val="0"/>
          <w:numId w:val="5"/>
        </w:numPr>
        <w:ind w:left="360" w:hanging="360"/>
      </w:pPr>
      <w:r>
        <w:rPr>
          <w:rFonts w:eastAsia="Calibri"/>
          <w:b/>
          <w:bCs/>
          <w:color w:val="000000"/>
        </w:rPr>
        <w:t>bienveillant</w:t>
      </w:r>
      <w:r>
        <w:rPr>
          <w:rFonts w:eastAsia="Calibri"/>
          <w:color w:val="000000"/>
        </w:rPr>
        <w:t> : ce n'est pas dans la loi, mais c'est dans la philosophie du projet,</w:t>
      </w:r>
      <w:r>
        <w:rPr>
          <w:rFonts w:eastAsia="Calibri"/>
          <w:b/>
          <w:color w:val="000000"/>
        </w:rPr>
        <w:t xml:space="preserve"> </w:t>
      </w:r>
      <w:r>
        <w:rPr>
          <w:rFonts w:eastAsia="Calibri"/>
          <w:color w:val="000000"/>
        </w:rPr>
        <w:t>on traite différemment les questions comme les addictions, les dysfonctionnements au travail : on cherche à accompagner, à réguler :</w:t>
      </w:r>
      <w:r>
        <w:t xml:space="preserve"> si on a quelqu'un qui n'a pas l'habitude d'être en activité, il faut temporiser sur la sanction. Les personnes sont parfois psychologiquement atteintes par ce qu’elles ont vécu : si on leur parle de sanction, c'est comme si on les jugeait encore.</w:t>
      </w:r>
    </w:p>
    <w:p>
      <w:pPr>
        <w:pStyle w:val="para37"/>
        <w:numPr>
          <w:ilvl w:val="0"/>
          <w:numId w:val="5"/>
        </w:numPr>
        <w:ind w:left="360" w:hanging="360"/>
      </w:pPr>
      <w:r>
        <w:rPr>
          <w:b/>
          <w:bCs/>
        </w:rPr>
        <w:t>agile </w:t>
      </w:r>
      <w:r>
        <w:t xml:space="preserve">: </w:t>
      </w:r>
      <w:r>
        <w:rPr>
          <w:rFonts w:eastAsia="Calibri"/>
          <w:color w:val="000000"/>
        </w:rPr>
        <w:t>le fait d’embaucher sans sélection implique qu’il y a une grande diversité parmi les salariés qui demande de la tolérance entre collègues, une capacité à s'adapter les uns aux autres, et un management différent pour que « tout ça » puisse fonctionner ensemble de façon agile.</w:t>
      </w:r>
      <w:r/>
    </w:p>
    <w:p>
      <w:pPr>
        <w:pStyle w:val="para37"/>
        <w:numPr>
          <w:ilvl w:val="0"/>
          <w:numId w:val="5"/>
        </w:numPr>
        <w:ind w:left="360" w:hanging="360"/>
        <w:rPr>
          <w:rFonts w:eastAsia="Calibri"/>
          <w:b/>
          <w:bCs/>
          <w:color w:val="000000"/>
        </w:rPr>
      </w:pPr>
      <w:r>
        <w:rPr>
          <w:rFonts w:eastAsia="Calibri"/>
          <w:b/>
          <w:bCs/>
          <w:color w:val="000000"/>
        </w:rPr>
        <w:t xml:space="preserve">participatif : </w:t>
      </w:r>
      <w:r>
        <w:rPr>
          <w:rFonts w:eastAsia="Calibri"/>
          <w:color w:val="000000"/>
        </w:rPr>
        <w:t>c'est la personne qui s'engage dans l'emploi,</w:t>
      </w:r>
      <w:r>
        <w:rPr>
          <w:rFonts w:eastAsia="Calibri"/>
          <w:b/>
          <w:color w:val="000000"/>
        </w:rPr>
        <w:t xml:space="preserve"> </w:t>
      </w:r>
      <w:r>
        <w:rPr>
          <w:rFonts w:eastAsia="Calibri"/>
          <w:color w:val="000000"/>
        </w:rPr>
        <w:t>ce qui implique de repenser la position de chacun. De plus la nécessité de tenir compte des souhaits et contraintes des personnes demande une approche participative de la conception à la mise en oeuvre de l’EBE.</w:t>
      </w:r>
      <w:r>
        <w:rPr>
          <w:rFonts w:eastAsia="Calibri"/>
          <w:b/>
          <w:bCs/>
          <w:color w:val="000000"/>
        </w:rPr>
      </w:r>
    </w:p>
    <w:p>
      <w:pPr>
        <w:pStyle w:val="para6"/>
        <w:numPr>
          <w:ilvl w:val="2"/>
          <w:numId w:val="2"/>
        </w:numPr>
        <w:ind w:left="340" w:hanging="360"/>
      </w:pPr>
      <w:bookmarkStart w:id="18" w:name="__RefHeading___Toc2448_31926222"/>
      <w:r/>
      <w:bookmarkStart w:id="19" w:name="_TM000024"/>
      <w:r/>
      <w:bookmarkEnd w:id="18"/>
      <w:r>
        <w:t>L’inscription dans un territoire et dans un projet</w:t>
      </w:r>
      <w:bookmarkEnd w:id="19"/>
      <w:r/>
    </w:p>
    <w:p>
      <w:pPr>
        <w:pStyle w:val="para37"/>
        <w:numPr>
          <w:ilvl w:val="0"/>
          <w:numId w:val="5"/>
        </w:numPr>
        <w:ind w:left="360" w:hanging="360"/>
      </w:pPr>
      <w:r>
        <w:rPr>
          <w:rFonts w:eastAsia="Calibri"/>
          <w:b/>
          <w:bCs/>
          <w:color w:val="000000"/>
        </w:rPr>
        <w:t>L</w:t>
      </w:r>
      <w:r>
        <w:rPr>
          <w:rFonts w:eastAsia="Calibri"/>
          <w:b/>
          <w:color w:val="000000"/>
        </w:rPr>
        <w:t>'EBE est un outil au service d'un projet de territoire</w:t>
      </w:r>
      <w:r>
        <w:rPr>
          <w:rFonts w:eastAsia="Calibri"/>
          <w:color w:val="000000"/>
        </w:rPr>
        <w:t>, elle dépend de sa gouvernance locale, le CLE, qui veille à la supplémentarité de l'emploi, à la non-concurrence. Elle ne peut être créée que si le territoire est habilité.</w:t>
      </w:r>
      <w:r/>
    </w:p>
    <w:p>
      <w:pPr>
        <w:pStyle w:val="para37"/>
        <w:numPr>
          <w:ilvl w:val="0"/>
          <w:numId w:val="5"/>
        </w:numPr>
        <w:ind w:left="360" w:hanging="360"/>
        <w:rPr>
          <w:rFonts w:eastAsia="Calibri"/>
          <w:b/>
          <w:bCs/>
          <w:color w:val="000000"/>
        </w:rPr>
      </w:pPr>
      <w:r>
        <w:rPr>
          <w:rFonts w:eastAsia="Calibri"/>
          <w:b/>
          <w:bCs/>
          <w:color w:val="000000"/>
        </w:rPr>
        <w:t>Elle développe des liens forts avec les acteurs locaux :</w:t>
      </w:r>
    </w:p>
    <w:p>
      <w:pPr>
        <w:pStyle w:val="para37"/>
        <w:numPr>
          <w:ilvl w:val="1"/>
          <w:numId w:val="5"/>
        </w:numPr>
        <w:ind w:left="0" w:firstLine="0"/>
        <w:rPr>
          <w:rFonts w:eastAsia="Calibri"/>
          <w:b/>
          <w:bCs/>
          <w:color w:val="000000"/>
        </w:rPr>
      </w:pPr>
      <w:r>
        <w:rPr>
          <w:rFonts w:eastAsia="Calibri"/>
          <w:b/>
          <w:bCs/>
          <w:color w:val="000000"/>
        </w:rPr>
        <w:t>avec les collectivités</w:t>
      </w:r>
      <w:r>
        <w:rPr>
          <w:rFonts w:eastAsia="Calibri"/>
          <w:color w:val="000000"/>
        </w:rPr>
        <w:t>, l’EBE étant un outil au service d’un projet qu’elles pilotent au travers de la présidence du CLE.</w:t>
      </w:r>
      <w:r>
        <w:rPr>
          <w:rFonts w:eastAsia="Calibri"/>
          <w:b/>
          <w:bCs/>
          <w:color w:val="000000"/>
        </w:rPr>
      </w:r>
    </w:p>
    <w:p>
      <w:pPr>
        <w:pStyle w:val="para37"/>
        <w:numPr>
          <w:ilvl w:val="1"/>
          <w:numId w:val="5"/>
        </w:numPr>
        <w:ind w:left="0" w:firstLine="0"/>
        <w:rPr>
          <w:rFonts w:eastAsia="Calibri"/>
          <w:b/>
          <w:bCs/>
          <w:color w:val="000000"/>
        </w:rPr>
      </w:pPr>
      <w:r>
        <w:rPr>
          <w:rFonts w:eastAsia="Calibri"/>
          <w:b/>
          <w:bCs/>
          <w:color w:val="000000"/>
        </w:rPr>
        <w:t xml:space="preserve">avec les autres acteurs (entreprises, associations...), </w:t>
      </w:r>
      <w:r>
        <w:rPr>
          <w:rFonts w:eastAsia="Calibri"/>
          <w:color w:val="000000"/>
        </w:rPr>
        <w:t>l’activité de l’EBE se déployant essentiellement auprès d’une clientèle située sur le territoire.</w:t>
      </w:r>
      <w:r>
        <w:rPr>
          <w:rFonts w:eastAsia="Calibri"/>
          <w:b/>
          <w:bCs/>
          <w:color w:val="000000"/>
        </w:rPr>
      </w:r>
    </w:p>
    <w:p>
      <w:pPr>
        <w:pStyle w:val="para37"/>
        <w:numPr>
          <w:ilvl w:val="0"/>
          <w:numId w:val="5"/>
        </w:numPr>
        <w:ind w:left="360" w:hanging="360"/>
      </w:pPr>
      <w:r>
        <w:t>le projet - et la montée en charge rapide des effectifs qu’il implique</w:t>
      </w:r>
      <w:r>
        <w:rPr>
          <w:b/>
          <w:bCs/>
        </w:rPr>
        <w:t xml:space="preserve"> - impose à l’EBE de trouver des locaux</w:t>
      </w:r>
      <w:r>
        <w:t xml:space="preserve"> de taille suffisante dès son ouverture (une entreprise classique le traitera plus tard en fonction de son développement)</w:t>
      </w:r>
    </w:p>
    <w:p>
      <w:pPr>
        <w:pStyle w:val="para6"/>
        <w:numPr>
          <w:ilvl w:val="2"/>
          <w:numId w:val="2"/>
        </w:numPr>
        <w:ind w:left="340" w:hanging="360"/>
      </w:pPr>
      <w:bookmarkStart w:id="20" w:name="__RefHeading___Toc2450_31926222"/>
      <w:r/>
      <w:bookmarkStart w:id="21" w:name="_TM000025"/>
      <w:r/>
      <w:bookmarkEnd w:id="20"/>
      <w:r>
        <w:t>Le modèle économique</w:t>
      </w:r>
      <w:bookmarkEnd w:id="21"/>
      <w:r/>
    </w:p>
    <w:p>
      <w:pPr>
        <w:rPr>
          <w:rFonts w:eastAsia="FreeSans"/>
        </w:rPr>
      </w:pPr>
      <w:r>
        <w:t xml:space="preserve">Il est différent du fait du </w:t>
      </w:r>
      <w:r>
        <w:rPr>
          <w:b/>
          <w:bCs/>
        </w:rPr>
        <w:t>cofinancement public</w:t>
      </w:r>
      <w:r>
        <w:rPr>
          <w:rFonts w:eastAsia="FreeSans"/>
        </w:rPr>
        <w:t xml:space="preserve"> apporté par la Contribution au Développement de l’Emploi (CDE).</w:t>
      </w:r>
      <w:r>
        <w:rPr>
          <w:rFonts w:eastAsia="FreeSans"/>
        </w:rPr>
      </w:r>
    </w:p>
    <w:p>
      <w:pPr>
        <w:pStyle w:val="para6"/>
        <w:numPr>
          <w:ilvl w:val="2"/>
          <w:numId w:val="2"/>
        </w:numPr>
        <w:ind w:left="340" w:hanging="360"/>
      </w:pPr>
      <w:bookmarkStart w:id="22" w:name="__RefHeading___Toc2452_31926222"/>
      <w:r/>
      <w:bookmarkStart w:id="23" w:name="_TM000026"/>
      <w:r/>
      <w:bookmarkEnd w:id="22"/>
      <w:r>
        <w:t>Les contraintes sur les activités</w:t>
      </w:r>
      <w:bookmarkEnd w:id="23"/>
      <w:r/>
    </w:p>
    <w:p>
      <w:pPr>
        <w:pStyle w:val="para37"/>
        <w:numPr>
          <w:ilvl w:val="0"/>
          <w:numId w:val="5"/>
        </w:numPr>
        <w:ind w:left="360" w:hanging="360"/>
      </w:pPr>
      <w:r>
        <w:rPr>
          <w:b/>
          <w:bCs/>
        </w:rPr>
        <w:t>la supplémentarité des activités</w:t>
      </w:r>
      <w:r>
        <w:t xml:space="preserve"> : l'EBE doit répondre à des besoins non couverts, ne pas faire concurrence.</w:t>
      </w:r>
    </w:p>
    <w:p>
      <w:pPr>
        <w:pStyle w:val="para37"/>
        <w:numPr>
          <w:ilvl w:val="0"/>
          <w:numId w:val="5"/>
        </w:numPr>
        <w:ind w:left="360" w:hanging="360"/>
      </w:pPr>
      <w:r>
        <w:rPr>
          <w:rFonts w:eastAsia="Calibri"/>
          <w:color w:val="000000"/>
        </w:rPr>
        <w:t>l</w:t>
      </w:r>
      <w:r>
        <w:rPr>
          <w:rFonts w:eastAsia="Calibri"/>
          <w:b/>
          <w:color w:val="000000"/>
        </w:rPr>
        <w:t>a territorialité des activité</w:t>
      </w:r>
      <w:r>
        <w:rPr>
          <w:rFonts w:eastAsia="Calibri"/>
          <w:b/>
          <w:bCs/>
          <w:color w:val="000000"/>
        </w:rPr>
        <w:t>s</w:t>
      </w:r>
      <w:r>
        <w:rPr>
          <w:rFonts w:eastAsia="Calibri"/>
          <w:color w:val="000000"/>
        </w:rPr>
        <w:t xml:space="preserve"> : les activités doivent se trouver majoritairement dans le périmètre géographique du territoire habilité. Le "majoritairement" est apprécié en fonction du consensus local. La production doit se faire exclusivement sur le territoire. Pour la vente, il peut y avoir des clients qui viennent sur le territoire (ex. recyclerie). Le CLE a une marge de manœuvre. Le Fonds est très vigilant à ce que les adresses des lieux de travail soient sur le territoire, mais il peut faire des exceptions (ex. terrain de maraîchage proche mais hors territoire). </w:t>
      </w:r>
      <w:r/>
    </w:p>
    <w:p>
      <w:pPr>
        <w:pStyle w:val="para37"/>
        <w:numPr>
          <w:ilvl w:val="0"/>
          <w:numId w:val="5"/>
        </w:numPr>
        <w:ind w:left="360" w:hanging="360"/>
      </w:pPr>
      <w:r>
        <w:rPr>
          <w:rFonts w:eastAsia="Calibri"/>
          <w:b/>
          <w:color w:val="000000"/>
        </w:rPr>
        <w:t>la recherche d'activités utiles au territoire</w:t>
      </w:r>
      <w:r>
        <w:rPr>
          <w:rFonts w:eastAsia="Calibri"/>
          <w:color w:val="000000"/>
        </w:rPr>
        <w:t xml:space="preserve"> contribuant au mieux-vivre des habitants et à la transition écologique. « Une entreprise classique peut le faire, une EBE doit le faire. Il y a une notion d'intérêt général. »</w:t>
      </w:r>
      <w:r/>
    </w:p>
    <w:p>
      <w:pPr>
        <w:pStyle w:val="para37"/>
        <w:numPr>
          <w:ilvl w:val="0"/>
          <w:numId w:val="5"/>
        </w:numPr>
        <w:ind w:left="360" w:hanging="360"/>
        <w:rPr>
          <w:rFonts w:eastAsia="Calibri"/>
          <w:b/>
          <w:bCs/>
          <w:color w:val="000000"/>
        </w:rPr>
      </w:pPr>
      <w:r>
        <w:rPr>
          <w:rFonts w:eastAsia="Calibri"/>
          <w:b/>
          <w:bCs/>
          <w:color w:val="000000"/>
        </w:rPr>
        <w:t xml:space="preserve">des activités réalisables par les salariés : </w:t>
      </w:r>
      <w:r>
        <w:rPr>
          <w:rFonts w:eastAsia="Calibri"/>
          <w:color w:val="000000"/>
        </w:rPr>
        <w:t xml:space="preserve">elles doivent tenir compte de leurs capacités, savoir-faire, souhaits et contraintes. </w:t>
      </w:r>
      <w:r>
        <w:rPr>
          <w:rFonts w:eastAsia="Calibri"/>
          <w:b/>
          <w:bCs/>
          <w:color w:val="000000"/>
        </w:rPr>
      </w:r>
    </w:p>
    <w:p>
      <w:pPr>
        <w:pStyle w:val="para5"/>
        <w:numPr>
          <w:ilvl w:val="1"/>
          <w:numId w:val="2"/>
        </w:numPr>
        <w:ind w:left="340" w:hanging="360"/>
      </w:pPr>
      <w:bookmarkStart w:id="24" w:name="__RefHeading___Toc2454_31926222"/>
      <w:r/>
      <w:bookmarkStart w:id="25" w:name="_TM000027"/>
      <w:r/>
      <w:bookmarkEnd w:id="24"/>
      <w:r>
        <w:t>Question soulevée lors des échanges</w:t>
      </w:r>
      <w:bookmarkEnd w:id="25"/>
      <w:r/>
    </w:p>
    <w:p>
      <w:pPr>
        <w:rPr>
          <w:rFonts w:eastAsia="FreeSans"/>
          <w:i/>
          <w:iCs/>
        </w:rPr>
      </w:pPr>
      <w:r>
        <w:rPr>
          <w:i/>
          <w:iCs/>
        </w:rPr>
        <w:t>Quelle est la place du CLE en cas de problème avec un salarié, qui est responsable, qui décide de la sanction, le CLE ou l'EBE ?</w:t>
      </w:r>
      <w:r>
        <w:rPr>
          <w:rFonts w:eastAsia="FreeSans"/>
          <w:i/>
          <w:iCs/>
        </w:rPr>
      </w:r>
    </w:p>
    <w:p>
      <w:r>
        <w:t>Aucun licenciement ne peut être prononcé sans la délibération du Conseil d'administration de l’EBE. Sauf si le Conseil d’administration a délégué son pouvoir disciplinaire et que la question est traitée dans les statuts (cf. jurisprudence de la Cour de cassation). Le CLE n'a pas de rôle à jouer, il n'est pas employeur.</w:t>
      </w:r>
    </w:p>
    <w:p>
      <w:pPr>
        <w:pStyle w:val="para3"/>
        <w:numPr>
          <w:ilvl w:val="0"/>
          <w:numId w:val="2"/>
        </w:numPr>
        <w:ind w:left="0" w:firstLine="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1B779E" tmshd="1677721856, 0, 10385179"/>
      </w:pPr>
      <w:bookmarkStart w:id="26" w:name="__RefHeading___Toc2335_2169280976"/>
      <w:r/>
      <w:bookmarkStart w:id="27" w:name="_TM000016"/>
      <w:r/>
      <w:bookmarkStart w:id="28" w:name="_TM000003"/>
      <w:r/>
      <w:bookmarkStart w:id="29" w:name="_TM000013"/>
      <w:r/>
      <w:bookmarkEnd w:id="26"/>
      <w:r>
        <w:t xml:space="preserve">Visite d’ESPACEA </w:t>
      </w:r>
      <w:bookmarkEnd w:id="27"/>
      <w:r/>
      <w:bookmarkEnd w:id="28"/>
      <w:r/>
      <w:bookmarkEnd w:id="29"/>
      <w:r/>
    </w:p>
    <w:p>
      <w:pPr>
        <w:pStyle w:val="para5"/>
        <w:numPr>
          <w:ilvl w:val="1"/>
          <w:numId w:val="2"/>
        </w:numPr>
        <w:ind w:left="340" w:hanging="360"/>
      </w:pPr>
      <w:bookmarkStart w:id="30" w:name="__RefHeading___Toc2456_31926222"/>
      <w:r/>
      <w:bookmarkStart w:id="31" w:name="_TM000028"/>
      <w:r/>
      <w:bookmarkEnd w:id="30"/>
      <w:r>
        <w:t>Visite des locaux</w:t>
      </w:r>
      <w:bookmarkEnd w:id="31"/>
      <w:r/>
    </w:p>
    <w:p>
      <w:r>
        <w:t>Magalie Fonteneau et Vincent Lépinay, directrice et directeur adjoint de l’EBE de Pont-Château, nous ont fait visiter le site de l’entreprise, ce qui a permis d’échanger avec les salariés et de découvrir différentes activités : création en bois de palette, couture en matériaux recyclés, nettoyage intérieur de voiture, épicerie ambulante et livraison de courses, fonctions support (accueil, achats, comptabilité, communication...)</w:t>
      </w:r>
    </w:p>
    <w:p>
      <w:r>
        <w:t>Quelques retours de salariés sur </w:t>
      </w:r>
      <w:r>
        <w:rPr>
          <w:b/>
          <w:bCs/>
        </w:rPr>
        <w:t xml:space="preserve">ce qui est différent dans l’EBE </w:t>
      </w:r>
      <w:r>
        <w:t xml:space="preserve">par rapport à leurs expériences de travail passées : </w:t>
      </w:r>
    </w:p>
    <w:p>
      <w:pPr>
        <w:pStyle w:val="para36"/>
        <w:numPr>
          <w:ilvl w:val="1"/>
          <w:numId w:val="5"/>
        </w:numPr>
        <w:ind w:left="782" w:hanging="459"/>
      </w:pPr>
      <w:r>
        <w:rPr>
          <w:i/>
          <w:iCs/>
        </w:rPr>
        <w:t>« la compréhension, j’ai eu le temps de travail que je voulais. »</w:t>
      </w:r>
      <w:r/>
    </w:p>
    <w:p>
      <w:pPr>
        <w:pStyle w:val="para36"/>
        <w:numPr>
          <w:ilvl w:val="1"/>
          <w:numId w:val="5"/>
        </w:numPr>
        <w:ind w:left="782" w:hanging="459"/>
      </w:pPr>
      <w:r>
        <w:rPr>
          <w:i/>
          <w:iCs/>
        </w:rPr>
        <w:t>« la bonne ambiance entre collègues et avec la direction. »</w:t>
      </w:r>
      <w:r/>
    </w:p>
    <w:p>
      <w:pPr>
        <w:pStyle w:val="para36"/>
        <w:numPr>
          <w:ilvl w:val="1"/>
          <w:numId w:val="5"/>
        </w:numPr>
        <w:ind w:left="782" w:hanging="459"/>
      </w:pPr>
      <w:r>
        <w:rPr>
          <w:i/>
          <w:iCs/>
        </w:rPr>
        <w:t>« il y a une écoute de la direction. Si on a un problème, on va voir Vincent ou Magalie. »</w:t>
      </w:r>
      <w:r/>
    </w:p>
    <w:p>
      <w:pPr>
        <w:pStyle w:val="para36"/>
        <w:numPr>
          <w:ilvl w:val="1"/>
          <w:numId w:val="5"/>
        </w:numPr>
        <w:ind w:left="782" w:hanging="459"/>
        <w:rPr>
          <w:i/>
          <w:iCs/>
        </w:rPr>
      </w:pPr>
      <w:r>
        <w:rPr>
          <w:i/>
          <w:iCs/>
        </w:rPr>
        <w:t>« il n’y a pas la pression du chiffre d’affaires, on nous laisse le temps de nous adapter. »</w:t>
      </w:r>
    </w:p>
    <w:p>
      <w:pPr>
        <w:pStyle w:val="para5"/>
        <w:numPr>
          <w:ilvl w:val="1"/>
          <w:numId w:val="2"/>
        </w:numPr>
        <w:ind w:left="340" w:hanging="360"/>
      </w:pPr>
      <w:bookmarkStart w:id="32" w:name="__RefHeading___Toc2458_31926222"/>
      <w:r/>
      <w:bookmarkEnd w:id="32"/>
      <w:r>
        <w:t>Retour d’expérience de l’équipe de direction</w:t>
      </w:r>
    </w:p>
    <w:p>
      <w:pPr>
        <w:pStyle w:val="para6"/>
        <w:numPr>
          <w:ilvl w:val="2"/>
          <w:numId w:val="1"/>
        </w:numPr>
        <w:ind w:left="340" w:hanging="360"/>
      </w:pPr>
      <w:r>
        <w:t>Points d’attention</w:t>
      </w:r>
    </w:p>
    <w:p>
      <w:r>
        <w:t>Quelques points sur lesquels Magalie et Vincent attirent particulièrement l’attention :</w:t>
      </w:r>
    </w:p>
    <w:p>
      <w:pPr>
        <w:pStyle w:val="para37"/>
        <w:numPr>
          <w:ilvl w:val="0"/>
          <w:numId w:val="5"/>
        </w:numPr>
        <w:ind w:left="380" w:hanging="380"/>
      </w:pPr>
      <w:r>
        <w:t xml:space="preserve">L’importance </w:t>
      </w:r>
      <w:r>
        <w:rPr>
          <w:b/>
          <w:bCs/>
        </w:rPr>
        <w:t>d’anticiper</w:t>
      </w:r>
      <w:r>
        <w:t xml:space="preserve"> le maximum de démarches avant l’habilitation, car lorsqu’elle arrive tout s’enchaîne, « on passe dans la machine à laver »</w:t>
      </w:r>
    </w:p>
    <w:p>
      <w:pPr>
        <w:numPr>
          <w:ilvl w:val="0"/>
          <w:numId w:val="5"/>
        </w:numPr>
        <w:ind w:left="380" w:hanging="380"/>
        <w:keepNext/>
      </w:pPr>
      <w:r>
        <w:t xml:space="preserve">L’importance de la </w:t>
      </w:r>
      <w:r>
        <w:rPr>
          <w:b/>
          <w:bCs/>
        </w:rPr>
        <w:t>communication</w:t>
      </w:r>
      <w:r>
        <w:t> :</w:t>
      </w:r>
    </w:p>
    <w:p>
      <w:pPr>
        <w:pStyle w:val="para36"/>
        <w:numPr>
          <w:ilvl w:val="1"/>
          <w:numId w:val="5"/>
        </w:numPr>
        <w:ind w:left="782" w:hanging="459"/>
      </w:pPr>
      <w:r>
        <w:rPr>
          <w:b/>
          <w:bCs/>
        </w:rPr>
        <w:t>externe</w:t>
      </w:r>
      <w:r>
        <w:t xml:space="preserve"> pour favoriser le développement des activités</w:t>
      </w:r>
    </w:p>
    <w:p>
      <w:pPr>
        <w:pStyle w:val="para36"/>
        <w:numPr>
          <w:ilvl w:val="1"/>
          <w:numId w:val="5"/>
        </w:numPr>
        <w:ind w:left="782" w:hanging="459"/>
        <w:rPr>
          <w:b/>
          <w:bCs/>
        </w:rPr>
      </w:pPr>
      <w:r>
        <w:rPr>
          <w:b/>
          <w:bCs/>
        </w:rPr>
        <w:t>interne</w:t>
      </w:r>
      <w:r>
        <w:t xml:space="preserve"> pour un bon fonctionnement de l’entreprise</w:t>
      </w:r>
      <w:r>
        <w:rPr>
          <w:b/>
          <w:bCs/>
        </w:rPr>
        <w:t xml:space="preserve"> </w:t>
      </w:r>
      <w:r>
        <w:t>(chaque salarié a sa bannette, la règle est la transparence vis-à-vis des salariés, un point hebdo les tient au courant de l’actualité de la semaine…)</w:t>
      </w:r>
      <w:r>
        <w:rPr>
          <w:b/>
          <w:bCs/>
        </w:rPr>
      </w:r>
    </w:p>
    <w:p>
      <w:pPr>
        <w:pStyle w:val="para37"/>
        <w:numPr>
          <w:ilvl w:val="0"/>
          <w:numId w:val="5"/>
        </w:numPr>
        <w:ind w:left="380" w:hanging="380"/>
        <w:rPr>
          <w:b/>
          <w:bCs/>
        </w:rPr>
      </w:pPr>
      <w:r>
        <w:t>Bien penser à toutes les</w:t>
      </w:r>
      <w:r>
        <w:rPr>
          <w:b/>
          <w:bCs/>
        </w:rPr>
        <w:t xml:space="preserve"> obligations liées au droit du travail</w:t>
      </w:r>
      <w:r>
        <w:t> : vestiaires, équipements de protection individuels, extincteurs, exercices d’évacuation (il y a une</w:t>
      </w:r>
      <w:r>
        <w:rPr>
          <w:b/>
          <w:bCs/>
        </w:rPr>
        <w:t xml:space="preserve"> fonction sécurité à structurer</w:t>
      </w:r>
      <w:r>
        <w:t>)</w:t>
      </w:r>
      <w:r>
        <w:rPr>
          <w:b/>
          <w:bCs/>
        </w:rPr>
      </w:r>
    </w:p>
    <w:p>
      <w:pPr>
        <w:pStyle w:val="para37"/>
        <w:numPr>
          <w:ilvl w:val="0"/>
          <w:numId w:val="5"/>
        </w:numPr>
        <w:ind w:left="380" w:hanging="380"/>
        <w:rPr>
          <w:b/>
          <w:bCs/>
        </w:rPr>
      </w:pPr>
      <w:r>
        <w:t xml:space="preserve">Les </w:t>
      </w:r>
      <w:r>
        <w:rPr>
          <w:b/>
          <w:bCs/>
        </w:rPr>
        <w:t>besoins de formation sont plus importants</w:t>
      </w:r>
      <w:r>
        <w:t xml:space="preserve"> que dans une entreprise classique, il faut chercher des solutions de financement (travail avec l’OPCO, autres financeurs…)</w:t>
      </w:r>
      <w:r>
        <w:rPr>
          <w:b/>
          <w:bCs/>
        </w:rPr>
      </w:r>
    </w:p>
    <w:p>
      <w:pPr>
        <w:pStyle w:val="para37"/>
        <w:numPr>
          <w:ilvl w:val="0"/>
          <w:numId w:val="5"/>
        </w:numPr>
        <w:ind w:left="380" w:hanging="380"/>
        <w:rPr>
          <w:b/>
          <w:bCs/>
        </w:rPr>
      </w:pPr>
      <w:r>
        <w:t>« </w:t>
      </w:r>
      <w:r>
        <w:rPr>
          <w:b/>
          <w:bCs/>
        </w:rPr>
        <w:t xml:space="preserve">En termes de gestion, il faut parler des personnes, </w:t>
      </w:r>
      <w:r>
        <w:t>les gens ne sont pas des ETP »</w:t>
      </w:r>
      <w:r>
        <w:rPr>
          <w:b/>
          <w:bCs/>
        </w:rPr>
      </w:r>
    </w:p>
    <w:p>
      <w:pPr>
        <w:pStyle w:val="para37"/>
        <w:numPr>
          <w:ilvl w:val="0"/>
          <w:numId w:val="5"/>
        </w:numPr>
        <w:ind w:left="380" w:hanging="380"/>
        <w:rPr>
          <w:b/>
          <w:bCs/>
        </w:rPr>
      </w:pPr>
      <w:r>
        <w:rPr>
          <w:b/>
          <w:bCs/>
        </w:rPr>
        <w:t>Budgéter prudemment en étant réaliste sur la capacité à produire dans les premiers mois</w:t>
      </w:r>
      <w:r>
        <w:t> : il y a un temps de mise en place de l’entreprise où la production est très réduite, d’autant plus lorsqu’il faut consacrer du temps à des aménagements internes (6 mois pour rénover une grange, le futur atelier bois). L’année une va quand même être équilibrée grâce à la montée en charge rapide qui apporte à l’entreprise un montant important de dotation d’amorçage.</w:t>
      </w:r>
      <w:r>
        <w:rPr>
          <w:b/>
          <w:bCs/>
        </w:rPr>
      </w:r>
    </w:p>
    <w:p>
      <w:pPr>
        <w:pStyle w:val="para37"/>
        <w:numPr>
          <w:ilvl w:val="0"/>
          <w:numId w:val="5"/>
        </w:numPr>
        <w:ind w:left="380" w:hanging="380"/>
        <w:rPr>
          <w:b/>
          <w:bCs/>
        </w:rPr>
      </w:pPr>
      <w:r>
        <w:rPr>
          <w:b/>
          <w:bCs/>
        </w:rPr>
        <w:t>Toutes les activités ne peuvent pas être lancées en même temps</w:t>
      </w:r>
      <w:r>
        <w:t>, il faut planifier en priorisant les plus importantes en termes d’emplois et de chiffre d’affaires (ESPACEA a une liste d’activités en attente d’être lancées), ce qui n’empêche pas de saisir les opportunités qui se présentent quand des partenaires vous sollicitent.</w:t>
      </w:r>
      <w:r>
        <w:rPr>
          <w:b/>
          <w:bCs/>
        </w:rPr>
        <w:t xml:space="preserve"> </w:t>
      </w:r>
      <w:r>
        <w:rPr>
          <w:b/>
          <w:bCs/>
        </w:rPr>
        <w:t>Et il faut bien sûr tenir compte des salariés dans le choix des activités.</w:t>
      </w:r>
      <w:r>
        <w:rPr>
          <w:b/>
          <w:bCs/>
        </w:rPr>
      </w:r>
    </w:p>
    <w:p>
      <w:pPr>
        <w:pStyle w:val="para37"/>
        <w:numPr>
          <w:ilvl w:val="0"/>
          <w:numId w:val="5"/>
        </w:numPr>
        <w:ind w:left="380" w:hanging="380"/>
      </w:pPr>
      <w:r>
        <w:t xml:space="preserve">En termes de fiscalité, l’expert comptable avait décidé de ne pas fiscaliser, mais finalement </w:t>
      </w:r>
      <w:r>
        <w:rPr>
          <w:b/>
          <w:bCs/>
        </w:rPr>
        <w:t>c’est plus pertinent d’être fiscalisé.</w:t>
      </w:r>
      <w:r>
        <w:t xml:space="preserve"> La TVA déductible est intéressante pour la structure.</w:t>
      </w:r>
    </w:p>
    <w:p>
      <w:pPr>
        <w:pStyle w:val="para6"/>
        <w:numPr>
          <w:ilvl w:val="2"/>
          <w:numId w:val="1"/>
        </w:numPr>
        <w:ind w:left="340" w:hanging="360"/>
      </w:pPr>
      <w:r>
        <w:t>Compétences et organisation de la direction</w:t>
      </w:r>
    </w:p>
    <w:p>
      <w:pPr>
        <w:pStyle w:val="para37"/>
        <w:numPr>
          <w:ilvl w:val="0"/>
          <w:numId w:val="0"/>
        </w:numPr>
        <w:ind w:left="0"/>
        <w:rPr>
          <w:b/>
          <w:bCs/>
        </w:rPr>
      </w:pPr>
      <w:r>
        <w:t xml:space="preserve">C’est le </w:t>
      </w:r>
      <w:r>
        <w:rPr>
          <w:b/>
          <w:bCs/>
        </w:rPr>
        <w:t>« </w:t>
      </w:r>
      <w:r>
        <w:rPr>
          <w:b/>
          <w:bCs/>
        </w:rPr>
        <w:t>le mouton à 4 pattes ! » </w:t>
      </w:r>
      <w:r>
        <w:t>: il faut de nombreuses compétences / savoir-être, en particulier :</w:t>
      </w:r>
      <w:r>
        <w:rPr>
          <w:b/>
          <w:bCs/>
        </w:rPr>
      </w:r>
    </w:p>
    <w:p>
      <w:pPr>
        <w:pStyle w:val="para37"/>
        <w:numPr>
          <w:ilvl w:val="1"/>
          <w:numId w:val="6"/>
        </w:numPr>
        <w:ind w:left="720" w:hanging="360"/>
      </w:pPr>
      <w:r>
        <w:t xml:space="preserve">le </w:t>
      </w:r>
      <w:r>
        <w:rPr>
          <w:b/>
          <w:bCs/>
        </w:rPr>
        <w:t xml:space="preserve">goût de l’humain </w:t>
      </w:r>
      <w:r>
        <w:t>dans l’accompagnement des personnes (qui représente 75 % du temps de Vincent)</w:t>
      </w:r>
    </w:p>
    <w:p>
      <w:pPr>
        <w:pStyle w:val="para37"/>
        <w:numPr>
          <w:ilvl w:val="1"/>
          <w:numId w:val="6"/>
        </w:numPr>
        <w:ind w:left="720" w:hanging="360"/>
      </w:pPr>
      <w:r>
        <w:t xml:space="preserve">de la </w:t>
      </w:r>
      <w:r>
        <w:rPr>
          <w:b/>
          <w:bCs/>
        </w:rPr>
        <w:t>polyvalence,</w:t>
      </w:r>
      <w:r>
        <w:t xml:space="preserve"> une capacité à s’adapter au changement</w:t>
      </w:r>
    </w:p>
    <w:p>
      <w:pPr>
        <w:pStyle w:val="para37"/>
        <w:numPr>
          <w:ilvl w:val="1"/>
          <w:numId w:val="6"/>
        </w:numPr>
        <w:ind w:left="720" w:hanging="360"/>
        <w:rPr>
          <w:b/>
          <w:bCs/>
        </w:rPr>
      </w:pPr>
      <w:r>
        <w:rPr>
          <w:b/>
          <w:bCs/>
        </w:rPr>
        <w:t>ne pas avoir peur des challenges</w:t>
      </w:r>
      <w:r>
        <w:t>, être pro-actif face aux difficultés</w:t>
      </w:r>
      <w:r>
        <w:rPr>
          <w:b/>
          <w:bCs/>
        </w:rPr>
      </w:r>
    </w:p>
    <w:p>
      <w:pPr>
        <w:pStyle w:val="para37"/>
        <w:numPr>
          <w:ilvl w:val="0"/>
          <w:numId w:val="0"/>
        </w:numPr>
        <w:ind w:left="0"/>
        <w:rPr>
          <w:b/>
          <w:bCs/>
        </w:rPr>
      </w:pPr>
      <w:r>
        <w:t xml:space="preserve">Il faut </w:t>
      </w:r>
      <w:r>
        <w:rPr>
          <w:b/>
          <w:bCs/>
        </w:rPr>
        <w:t>être au moins deux </w:t>
      </w:r>
      <w:r>
        <w:t xml:space="preserve">: une personne toute seule en direction, ça ne tient pas. Il faut </w:t>
      </w:r>
      <w:r>
        <w:rPr>
          <w:b/>
          <w:bCs/>
        </w:rPr>
        <w:t xml:space="preserve">un binôme qui </w:t>
      </w:r>
      <w:r>
        <w:rPr>
          <w:b/>
          <w:bCs/>
        </w:rPr>
        <w:t xml:space="preserve">s’entende et </w:t>
      </w:r>
      <w:r>
        <w:rPr>
          <w:b/>
          <w:bCs/>
        </w:rPr>
        <w:t>fonctionne bien</w:t>
      </w:r>
      <w:r>
        <w:t xml:space="preserve">. Vincent et Magalie se sont réparties les fonctions à assurer en tenant compte de leurs appétences. </w:t>
      </w:r>
      <w:r>
        <w:rPr>
          <w:b/>
          <w:bCs/>
        </w:rPr>
      </w:r>
    </w:p>
    <w:p>
      <w:pPr>
        <w:pStyle w:val="para37"/>
        <w:numPr>
          <w:ilvl w:val="0"/>
          <w:numId w:val="0"/>
        </w:numPr>
        <w:ind w:left="0"/>
        <w:rPr>
          <w:b/>
          <w:bCs/>
        </w:rPr>
      </w:pPr>
      <w:r>
        <w:t xml:space="preserve">Dans le binôme, il faut </w:t>
      </w:r>
      <w:r>
        <w:rPr>
          <w:b/>
          <w:bCs/>
        </w:rPr>
        <w:t>quelqu’un qui possède l’historique</w:t>
      </w:r>
      <w:r>
        <w:t> : Magalie est arrivée 3 mois avant l’ouverture, heureusement que Vincent était sur le projet depuis 2 ans et lui a permis de s’approprier comment et pourquoi les choses avaient été construites ainsi.</w:t>
      </w:r>
      <w:r>
        <w:rPr>
          <w:b/>
          <w:bCs/>
        </w:rPr>
      </w:r>
    </w:p>
    <w:p>
      <w:pPr>
        <w:pStyle w:val="para37"/>
        <w:numPr>
          <w:ilvl w:val="0"/>
          <w:numId w:val="0"/>
        </w:numPr>
        <w:ind w:left="0"/>
        <w:rPr>
          <w:b/>
          <w:bCs/>
        </w:rPr>
      </w:pPr>
      <w:r>
        <w:t xml:space="preserve">Avec le recul, ce qu’ils changeraient s’il fallait recommencer serait de </w:t>
      </w:r>
      <w:r>
        <w:rPr>
          <w:b/>
          <w:bCs/>
        </w:rPr>
        <w:t>recruter plus vite l’encadrement.</w:t>
      </w:r>
      <w:r>
        <w:t xml:space="preserve"> Certains salariés ont été mis en difficulté par le manque d’encadrement.</w:t>
      </w:r>
      <w:r>
        <w:rPr>
          <w:b/>
          <w:bCs/>
        </w:rPr>
      </w:r>
    </w:p>
    <w:p>
      <w:r/>
    </w:p>
    <w:p>
      <w:pPr>
        <w:pStyle w:val="para3"/>
        <w:numPr>
          <w:ilvl w:val="0"/>
          <w:numId w:val="2"/>
        </w:numPr>
        <w:ind w:left="0" w:firstLine="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1B779E" tmshd="1677721856, 0, 10385179"/>
      </w:pPr>
      <w:bookmarkStart w:id="33" w:name="__RefHeading___Toc1036_3697335794"/>
      <w:r/>
      <w:bookmarkStart w:id="34" w:name="_TM000017"/>
      <w:r/>
      <w:bookmarkStart w:id="35" w:name="_TM000004"/>
      <w:r/>
      <w:bookmarkStart w:id="36" w:name="_TM000019"/>
      <w:r/>
      <w:bookmarkEnd w:id="33"/>
      <w:r>
        <w:t>Actualités</w:t>
      </w:r>
      <w:bookmarkEnd w:id="34"/>
      <w:r/>
      <w:bookmarkEnd w:id="35"/>
      <w:r/>
      <w:bookmarkEnd w:id="36"/>
      <w:r/>
    </w:p>
    <w:p>
      <w:pPr>
        <w:pStyle w:val="para5"/>
        <w:numPr>
          <w:ilvl w:val="1"/>
          <w:numId w:val="2"/>
        </w:numPr>
        <w:ind w:left="340" w:hanging="360"/>
      </w:pPr>
      <w:bookmarkStart w:id="37" w:name="__RefHeading___Toc1038_3697335794"/>
      <w:r/>
      <w:bookmarkStart w:id="38" w:name="_TM000005"/>
      <w:r/>
      <w:bookmarkEnd w:id="37"/>
      <w:r>
        <w:t>Guide sur la participation ATD</w:t>
      </w:r>
      <w:bookmarkEnd w:id="38"/>
      <w:r>
        <w:t xml:space="preserve"> Quart Monde</w:t>
      </w:r>
    </w:p>
    <w:p>
      <w:r>
        <w:t xml:space="preserve">ATD Quart Monde a développé une méthode « Le croisement des savoirs » pour permettre aux personnes en situation de pauvreté de participer pleinement à des projets collaboratifs en apportant leur savoir issu de l’expérience. Un petit guide a été écrit à partir de cette méthode, « réussir la participation de tou·te·s et tous », pour donner des repères pratiques sur cette méthode. Le chapitre 5 en particulier peut-être utile pour mettre en œuvre la co-construction du projet TZCLD avec les personnes privées d’emploi. Il permet de prendre conscience des freins qui peuvent exister à la participation et des moyens de les lever. </w:t>
      </w:r>
    </w:p>
    <w:p>
      <w:pPr>
        <w:pStyle w:val="para37"/>
        <w:numPr>
          <w:ilvl w:val="0"/>
          <w:numId w:val="0"/>
        </w:numPr>
        <w:ind w:left="0"/>
      </w:pPr>
      <w:r>
        <w:t xml:space="preserve">Un exemplaire est remis à chaque territoire. Le guide est également disponible en ligne : </w:t>
      </w:r>
      <w:hyperlink r:id="rId10" w:history="1">
        <w:r>
          <w:rPr>
            <w:rStyle w:val="char1"/>
          </w:rPr>
          <w:t>https://www.atd-quartmonde.fr/wp-content/uploads/2021/11/2021_ATDQM_Reussir-la-participationde-toute-et-tous_Guide-pratique-pour-agir.pdf</w:t>
        </w:r>
      </w:hyperlink>
      <w:r>
        <w:t xml:space="preserve"> </w:t>
      </w:r>
    </w:p>
    <w:p>
      <w:pPr>
        <w:pStyle w:val="para5"/>
        <w:numPr>
          <w:ilvl w:val="1"/>
          <w:numId w:val="2"/>
        </w:numPr>
        <w:ind w:left="340" w:hanging="360"/>
      </w:pPr>
      <w:bookmarkStart w:id="39" w:name="__RefHeading___Toc1040_3697335794"/>
      <w:r/>
      <w:bookmarkStart w:id="40" w:name="_TM000006"/>
      <w:r/>
      <w:bookmarkEnd w:id="39"/>
      <w:r>
        <w:t>Grève du Chômage</w:t>
      </w:r>
      <w:bookmarkEnd w:id="40"/>
      <w:r/>
    </w:p>
    <w:p>
      <w:r>
        <w:t>Elle aura lieu mardi 8 novembre. Les informations ont été envoyées au territoire et un kit est proposé par l’équipe national (chasubles, livrets de présentation...). Pour en bénéficier, il faut se faire connaître auprès de l’association TZCLD avant le 14 octobre.</w:t>
      </w:r>
    </w:p>
    <w:p>
      <w:pPr>
        <w:pStyle w:val="para5"/>
        <w:numPr>
          <w:ilvl w:val="1"/>
          <w:numId w:val="2"/>
        </w:numPr>
        <w:ind w:left="340" w:hanging="360"/>
      </w:pPr>
      <w:bookmarkStart w:id="41" w:name="__RefHeading___Toc1042_3697335794"/>
      <w:r/>
      <w:bookmarkStart w:id="42" w:name="_TM000007"/>
      <w:r/>
      <w:bookmarkEnd w:id="41"/>
      <w:r>
        <w:t>Clause de revoyure – amendement soupape.</w:t>
      </w:r>
      <w:bookmarkEnd w:id="42"/>
      <w:r/>
    </w:p>
    <w:p>
      <w:r>
        <w:t xml:space="preserve">Il est prévu dans la 2ème loi de pouvoir dépasser les 50 territoires habilités, mais via un décret en conseil d’État ce qui est lourd. L’association TZCLD essaye de faire passer un amendement à la loi travail pour simplifier cette procédure. Les démarches n’ont pas abouti pour l’instant à l’Assemblée nationale, une nouvelle tentative va être faite auprès du Sénat </w:t>
      </w:r>
      <w:r>
        <w:rPr>
          <w:i/>
          <w:iCs/>
        </w:rPr>
        <w:t>(qui n’a finalement pas abouti, un nouveau « véhicule législatif » sera recherché dans les mois qui viennent).</w:t>
      </w:r>
      <w:r/>
    </w:p>
    <w:p>
      <w:pPr>
        <w:pStyle w:val="para5"/>
        <w:numPr>
          <w:ilvl w:val="1"/>
          <w:numId w:val="2"/>
        </w:numPr>
        <w:ind w:left="340" w:hanging="360"/>
      </w:pPr>
      <w:bookmarkStart w:id="43" w:name="__RefHeading___Toc1044_3697335794"/>
      <w:r/>
      <w:bookmarkStart w:id="44" w:name="_TM000008"/>
      <w:r/>
      <w:bookmarkEnd w:id="43"/>
      <w:r>
        <w:t>Nouvelles habilitations</w:t>
      </w:r>
      <w:bookmarkEnd w:id="44"/>
      <w:r/>
    </w:p>
    <w:p>
      <w:r>
        <w:t>Aujourd’hui, on en est a 28 nouveaux territoires habilités, avec en moyenne 3 nouveaux territoires habilités par mois. 36 nouvelles EBE sont conventionnées (et non pas 38 car il y a toujours un délai entre l’habilitation du territoire et de la ou des EBE).</w:t>
      </w:r>
    </w:p>
    <w:p>
      <w:pPr>
        <w:pStyle w:val="para5"/>
        <w:numPr>
          <w:ilvl w:val="1"/>
          <w:numId w:val="2"/>
        </w:numPr>
        <w:ind w:left="340" w:hanging="360"/>
      </w:pPr>
      <w:bookmarkStart w:id="45" w:name="__RefHeading___Toc1046_3697335794"/>
      <w:r/>
      <w:bookmarkStart w:id="46" w:name="_TM000009"/>
      <w:r/>
      <w:bookmarkEnd w:id="45"/>
      <w:r>
        <w:t>Animation régionale</w:t>
      </w:r>
      <w:bookmarkEnd w:id="46"/>
      <w:r/>
    </w:p>
    <w:p>
      <w:pPr>
        <w:numPr>
          <w:ilvl w:val="0"/>
          <w:numId w:val="7"/>
        </w:numPr>
        <w:ind w:left="360" w:hanging="360"/>
      </w:pPr>
      <w:r>
        <w:rPr>
          <w:b/>
          <w:bCs/>
        </w:rPr>
        <w:t xml:space="preserve">Journée régionale : </w:t>
      </w:r>
      <w:r>
        <w:t>La première réunion de préparation aura lieu le 21 octobre. Toutes celles et ceux qui veulent participer sont bienvenu·e·s !</w:t>
      </w:r>
    </w:p>
    <w:p>
      <w:pPr>
        <w:numPr>
          <w:ilvl w:val="0"/>
          <w:numId w:val="7"/>
        </w:numPr>
        <w:ind w:left="360" w:hanging="360"/>
      </w:pPr>
      <w:r>
        <w:rPr>
          <w:b/>
          <w:bCs/>
        </w:rPr>
        <w:t>Comité régional des partenaires</w:t>
      </w:r>
      <w:r>
        <w:t xml:space="preserve"> (CRP) : il concerne l’animation régionale et vise à réunir régulièrement les institutions régionales et départementales pour faire avancer la connaissance du projet au sein de celles-ci. La réunion est reportée en novembre et aura lieu en visioconférence pour faciliter la participation.</w:t>
      </w:r>
    </w:p>
    <w:p>
      <w:pPr>
        <w:pStyle w:val="para3"/>
        <w:numPr>
          <w:ilvl w:val="0"/>
          <w:numId w:val="2"/>
        </w:numPr>
        <w:ind w:left="0" w:firstLine="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1B779E" tmshd="1677721856, 0, 10385179"/>
        <w:rPr>
          <w:sz w:val="26"/>
        </w:rPr>
      </w:pPr>
      <w:r/>
      <w:bookmarkStart w:id="47" w:name="__RefHeading___Toc3547_983831226"/>
      <w:r/>
      <w:bookmarkStart w:id="48" w:name="_TM000018"/>
      <w:r/>
      <w:bookmarkStart w:id="49" w:name="_TM000010"/>
      <w:r/>
      <w:bookmarkStart w:id="50" w:name="_TM000020"/>
      <w:r/>
      <w:bookmarkEnd w:id="47"/>
      <w:r>
        <w:t>Quelle direction pour les EBE ?</w:t>
      </w:r>
      <w:bookmarkEnd w:id="48"/>
      <w:r/>
      <w:bookmarkEnd w:id="49"/>
      <w:r/>
      <w:bookmarkEnd w:id="50"/>
      <w:r/>
      <w:r>
        <w:rPr>
          <w:sz w:val="26"/>
        </w:rPr>
      </w:r>
    </w:p>
    <w:p>
      <w:r>
        <w:t xml:space="preserve">On travaille en atelier sur l’équipe de direction de l’EBE. Quelle taille d’équipe ? Quelles compétences ? Quand la recruter ? </w:t>
      </w:r>
    </w:p>
    <w:p>
      <w:pPr>
        <w:pStyle w:val="para5"/>
        <w:numPr>
          <w:ilvl w:val="1"/>
          <w:numId w:val="1"/>
        </w:numPr>
        <w:ind w:left="340" w:hanging="363"/>
      </w:pPr>
      <w:r>
        <w:t>Restitution des ateliers</w:t>
      </w:r>
    </w:p>
    <w:p>
      <w:pPr>
        <w:pStyle w:val="para6"/>
        <w:numPr>
          <w:ilvl w:val="2"/>
          <w:numId w:val="1"/>
        </w:numPr>
        <w:ind w:left="340" w:hanging="360"/>
      </w:pPr>
      <w:r>
        <w:t>État des lieux des directions d’EBE</w:t>
      </w:r>
    </w:p>
    <w:p>
      <w:pPr>
        <w:rPr>
          <w:i/>
          <w:iCs/>
        </w:rPr>
      </w:pPr>
      <w:r>
        <w:rPr>
          <w:i/>
          <w:iCs/>
        </w:rPr>
        <w:t>(Direction existante ou projetée pour les territoires suffisamment avancés ; pour les autres, c’est encore en réflexion)</w:t>
      </w:r>
    </w:p>
    <w:p>
      <w:pPr>
        <w:numPr>
          <w:ilvl w:val="0"/>
          <w:numId w:val="8"/>
        </w:numPr>
        <w:ind w:left="720" w:hanging="360"/>
        <w:rPr>
          <w:rFonts w:eastAsia="Calibri" w:cs="Calibri"/>
        </w:rPr>
      </w:pPr>
      <w:r>
        <w:rPr>
          <w:rFonts w:eastAsia="Calibri" w:cs="Calibri"/>
          <w:b/>
          <w:bCs/>
          <w:color w:val="000000"/>
        </w:rPr>
        <w:t>Vannes</w:t>
      </w:r>
      <w:r>
        <w:rPr>
          <w:rFonts w:eastAsia="Calibri" w:cs="Calibri"/>
          <w:color w:val="000000"/>
        </w:rPr>
        <w:t xml:space="preserve"> : deux codirectrices et un coordinateur</w:t>
      </w:r>
      <w:r>
        <w:rPr>
          <w:rFonts w:eastAsia="Calibri" w:cs="Calibri"/>
        </w:rPr>
      </w:r>
    </w:p>
    <w:p>
      <w:pPr>
        <w:numPr>
          <w:ilvl w:val="0"/>
          <w:numId w:val="8"/>
        </w:numPr>
        <w:ind w:left="720" w:hanging="360"/>
        <w:spacing w:before="0" w:after="200" w:line="276" w:lineRule="exact"/>
        <w:rPr>
          <w:rFonts w:eastAsia="Calibri" w:cs="Calibri"/>
        </w:rPr>
      </w:pPr>
      <w:r>
        <w:rPr>
          <w:rFonts w:eastAsia="Calibri" w:cs="Calibri"/>
          <w:b/>
          <w:bCs/>
          <w:color w:val="000000"/>
        </w:rPr>
        <w:t>Laval</w:t>
      </w:r>
      <w:r>
        <w:rPr>
          <w:rFonts w:eastAsia="Calibri" w:cs="Calibri"/>
          <w:color w:val="000000"/>
        </w:rPr>
        <w:t xml:space="preserve"> : direction à 3 têtes :</w:t>
      </w:r>
      <w:r>
        <w:rPr>
          <w:rFonts w:eastAsia="Calibri" w:cs="Calibri"/>
        </w:rPr>
      </w:r>
    </w:p>
    <w:p>
      <w:pPr>
        <w:numPr>
          <w:ilvl w:val="1"/>
          <w:numId w:val="8"/>
        </w:numPr>
        <w:ind w:left="1080" w:hanging="360"/>
        <w:rPr>
          <w:rFonts w:eastAsia="Calibri" w:cs="Calibri"/>
        </w:rPr>
      </w:pPr>
      <w:r>
        <w:rPr>
          <w:rFonts w:eastAsia="Calibri" w:cs="Calibri"/>
          <w:color w:val="000000"/>
        </w:rPr>
        <w:t>2 sur la gestion et les activité</w:t>
      </w:r>
      <w:r>
        <w:rPr>
          <w:rFonts w:eastAsia="Calibri" w:cs="Calibri"/>
          <w:color w:val="000000"/>
        </w:rPr>
        <w:t>s</w:t>
      </w:r>
      <w:r>
        <w:rPr>
          <w:rFonts w:eastAsia="Calibri" w:cs="Calibri"/>
          <w:color w:val="000000"/>
        </w:rPr>
        <w:t xml:space="preserve"> (</w:t>
      </w:r>
      <w:r>
        <w:rPr>
          <w:rFonts w:eastAsia="Calibri" w:cs="Calibri"/>
          <w:color w:val="000000"/>
        </w:rPr>
        <w:t xml:space="preserve">via de la </w:t>
      </w:r>
      <w:r>
        <w:rPr>
          <w:rFonts w:eastAsia="Calibri" w:cs="Calibri"/>
          <w:color w:val="000000"/>
        </w:rPr>
        <w:t xml:space="preserve">mise à disposition </w:t>
      </w:r>
      <w:r>
        <w:rPr>
          <w:rFonts w:eastAsia="Calibri" w:cs="Calibri"/>
          <w:color w:val="000000"/>
        </w:rPr>
        <w:t>par les</w:t>
      </w:r>
      <w:r>
        <w:rPr>
          <w:rFonts w:eastAsia="Calibri" w:cs="Calibri"/>
          <w:color w:val="000000"/>
        </w:rPr>
        <w:t xml:space="preserve"> deux associations qui portent le projet avec l'agglo</w:t>
      </w:r>
      <w:r>
        <w:rPr>
          <w:rFonts w:eastAsia="Calibri" w:cs="Calibri"/>
          <w:color w:val="000000"/>
        </w:rPr>
        <w:t>), mais il s’agit</w:t>
      </w:r>
      <w:r>
        <w:rPr>
          <w:rFonts w:eastAsia="Calibri" w:cs="Calibri"/>
          <w:color w:val="000000"/>
        </w:rPr>
        <w:t xml:space="preserve"> plutôt </w:t>
      </w:r>
      <w:r>
        <w:rPr>
          <w:rFonts w:eastAsia="Calibri" w:cs="Calibri"/>
          <w:color w:val="000000"/>
        </w:rPr>
        <w:t xml:space="preserve">d’un </w:t>
      </w:r>
      <w:r>
        <w:rPr>
          <w:rFonts w:eastAsia="Calibri" w:cs="Calibri"/>
          <w:color w:val="000000"/>
        </w:rPr>
        <w:t xml:space="preserve">accompagnement que </w:t>
      </w:r>
      <w:r>
        <w:rPr>
          <w:rFonts w:eastAsia="Calibri" w:cs="Calibri"/>
          <w:color w:val="000000"/>
        </w:rPr>
        <w:t xml:space="preserve">de postes de </w:t>
      </w:r>
      <w:r>
        <w:rPr>
          <w:rFonts w:eastAsia="Calibri" w:cs="Calibri"/>
          <w:color w:val="000000"/>
        </w:rPr>
        <w:t>direction</w:t>
      </w:r>
      <w:r>
        <w:rPr>
          <w:rFonts w:eastAsia="Calibri" w:cs="Calibri"/>
        </w:rPr>
      </w:r>
    </w:p>
    <w:p>
      <w:pPr>
        <w:numPr>
          <w:ilvl w:val="1"/>
          <w:numId w:val="8"/>
        </w:numPr>
        <w:ind w:left="1080" w:hanging="360"/>
        <w:rPr>
          <w:rFonts w:eastAsia="Calibri" w:cs="Calibri"/>
        </w:rPr>
      </w:pPr>
      <w:r>
        <w:t>1 sur la direction opérationnelle =&gt; on a peut-être minimisé le besoin</w:t>
      </w:r>
      <w:r>
        <w:rPr>
          <w:rFonts w:eastAsia="Calibri" w:cs="Calibri"/>
        </w:rPr>
      </w:r>
    </w:p>
    <w:p>
      <w:pPr>
        <w:spacing w:before="0" w:after="200" w:line="276" w:lineRule="exact"/>
        <w:rPr>
          <w:rFonts w:eastAsia="Calibri" w:cs="Calibri"/>
        </w:rPr>
      </w:pPr>
      <w:r>
        <w:rPr>
          <w:rFonts w:eastAsia="Calibri" w:cs="Calibri"/>
          <w:color w:val="000000"/>
        </w:rPr>
        <w:t>Compétences :RH,Gestion,Partenariat commercial,Développement d'activité.</w:t>
      </w:r>
      <w:r>
        <w:rPr>
          <w:rFonts w:eastAsia="Calibri" w:cs="Calibri"/>
        </w:rPr>
      </w:r>
    </w:p>
    <w:p>
      <w:pPr>
        <w:spacing w:before="0" w:after="200" w:line="276" w:lineRule="exact"/>
        <w:rPr>
          <w:rFonts w:eastAsia="Calibri" w:cs="Calibri"/>
        </w:rPr>
      </w:pPr>
      <w:r>
        <w:rPr>
          <w:rFonts w:eastAsia="Calibri" w:cs="Calibri"/>
          <w:color w:val="000000"/>
        </w:rPr>
        <w:t>Fiche de poste : avoir l'expérience de création d'activité, gestion d'entreprise  et management adapté</w:t>
      </w:r>
      <w:r>
        <w:rPr>
          <w:rFonts w:eastAsia="Calibri" w:cs="Calibri"/>
        </w:rPr>
      </w:r>
    </w:p>
    <w:p>
      <w:pPr>
        <w:spacing w:before="0" w:after="200" w:line="276" w:lineRule="exact"/>
        <w:rPr>
          <w:rFonts w:eastAsia="Calibri" w:cs="Calibri"/>
        </w:rPr>
      </w:pPr>
      <w:r>
        <w:rPr>
          <w:rFonts w:eastAsia="Calibri" w:cs="Calibri"/>
          <w:color w:val="000000"/>
        </w:rPr>
        <w:t>Centre d'intérêt, avoir un intérêt pour les questions d'insertion.</w:t>
      </w:r>
      <w:r>
        <w:rPr>
          <w:rFonts w:eastAsia="Calibri" w:cs="Calibri"/>
        </w:rPr>
      </w:r>
    </w:p>
    <w:p>
      <w:pPr>
        <w:spacing w:before="0" w:after="200" w:line="276" w:lineRule="exact"/>
        <w:rPr>
          <w:rFonts w:eastAsia="Calibri" w:cs="Calibri"/>
        </w:rPr>
      </w:pPr>
      <w:r>
        <w:rPr>
          <w:rFonts w:eastAsia="Calibri" w:cs="Calibri"/>
          <w:color w:val="000000"/>
        </w:rPr>
        <w:t>Compétences comportementales : capacité d'ouverture et capacité d'adaptation.</w:t>
      </w:r>
      <w:r>
        <w:rPr>
          <w:rFonts w:eastAsia="Calibri" w:cs="Calibri"/>
        </w:rPr>
      </w:r>
    </w:p>
    <w:p>
      <w:pPr>
        <w:spacing w:before="0" w:after="200" w:line="276" w:lineRule="exact"/>
        <w:rPr>
          <w:rFonts w:eastAsia="Calibri" w:cs="Calibri"/>
        </w:rPr>
      </w:pPr>
      <w:r>
        <w:rPr>
          <w:rFonts w:eastAsia="Calibri" w:cs="Calibri"/>
          <w:color w:val="000000"/>
        </w:rPr>
        <w:t>Non exhaustif.</w:t>
      </w:r>
      <w:r>
        <w:rPr>
          <w:rFonts w:eastAsia="Calibri" w:cs="Calibri"/>
        </w:rPr>
      </w:r>
    </w:p>
    <w:p>
      <w:pPr>
        <w:spacing w:before="0" w:after="200" w:line="276" w:lineRule="exact"/>
        <w:rPr>
          <w:rFonts w:eastAsia="Calibri" w:cs="Calibri"/>
          <w:b/>
        </w:rPr>
      </w:pPr>
      <w:r>
        <w:rPr>
          <w:rFonts w:eastAsia="Calibri" w:cs="Calibri"/>
          <w:b/>
          <w:color w:val="000000"/>
        </w:rPr>
        <w:t>La Flèche, Saint-Brieuc, Loireauxence</w:t>
      </w:r>
      <w:r>
        <w:rPr>
          <w:rFonts w:eastAsia="Calibri" w:cs="Calibri"/>
          <w:b/>
        </w:rPr>
      </w:r>
    </w:p>
    <w:p>
      <w:pPr>
        <w:spacing w:before="0" w:after="200" w:line="276" w:lineRule="exact"/>
        <w:rPr>
          <w:rFonts w:eastAsia="Calibri" w:cs="Calibri"/>
        </w:rPr>
      </w:pPr>
      <w:r>
        <w:rPr>
          <w:rFonts w:eastAsia="Calibri" w:cs="Calibri"/>
          <w:color w:val="000000"/>
        </w:rPr>
        <w:t xml:space="preserve">Importances des relations humaines dans le profil de la ou les personnes recrutées =&gt; discussion sur ce qui est attendu en termes de management pour bien identifier si les personnes qui candidatent correspondent. </w:t>
      </w:r>
      <w:r>
        <w:rPr>
          <w:rFonts w:eastAsia="Calibri" w:cs="Calibri"/>
        </w:rPr>
      </w:r>
    </w:p>
    <w:p>
      <w:pPr>
        <w:spacing w:before="0" w:after="200" w:line="276" w:lineRule="exact"/>
        <w:rPr>
          <w:rFonts w:eastAsia="Calibri" w:cs="Calibri"/>
        </w:rPr>
      </w:pPr>
      <w:r>
        <w:rPr>
          <w:rFonts w:eastAsia="Calibri" w:cs="Calibri"/>
          <w:color w:val="000000"/>
        </w:rPr>
        <w:t>Pouvoir anticiper les situations complexes, aptitude à accompagner des personnes en difficulté, capacité à se remettre en question sur ses pratiques si ça ne répond pas à la charte des valeurs initiales.</w:t>
      </w:r>
      <w:r>
        <w:rPr>
          <w:rFonts w:eastAsia="Calibri" w:cs="Calibri"/>
        </w:rPr>
      </w:r>
    </w:p>
    <w:p>
      <w:pPr>
        <w:spacing w:before="0" w:after="200" w:line="276" w:lineRule="exact"/>
        <w:rPr>
          <w:rFonts w:eastAsia="Calibri" w:cs="Calibri"/>
        </w:rPr>
      </w:pPr>
      <w:r>
        <w:rPr>
          <w:rFonts w:eastAsia="Calibri" w:cs="Calibri"/>
          <w:color w:val="000000"/>
        </w:rPr>
        <w:t>Savoir travailler en équipe, il faut travailler de façon très proche avec l'équipe projet, fluidité de travail entre les deux.</w:t>
      </w:r>
      <w:r>
        <w:rPr>
          <w:rFonts w:eastAsia="Calibri" w:cs="Calibri"/>
        </w:rPr>
      </w:r>
    </w:p>
    <w:p>
      <w:pPr>
        <w:spacing w:before="0" w:after="200" w:line="276" w:lineRule="exact"/>
        <w:rPr>
          <w:rFonts w:eastAsia="Calibri" w:cs="Calibri"/>
        </w:rPr>
      </w:pPr>
      <w:r>
        <w:rPr>
          <w:rFonts w:eastAsia="Calibri" w:cs="Calibri"/>
          <w:color w:val="000000"/>
        </w:rPr>
        <w:t>Maîtriser les fondamentaux du projet.</w:t>
      </w:r>
      <w:r>
        <w:rPr>
          <w:rFonts w:eastAsia="Calibri" w:cs="Calibri"/>
        </w:rPr>
      </w:r>
    </w:p>
    <w:p>
      <w:pPr>
        <w:spacing w:before="0" w:after="200" w:line="276" w:lineRule="exact"/>
        <w:rPr>
          <w:rFonts w:eastAsia="Calibri" w:cs="Calibri"/>
        </w:rPr>
      </w:pPr>
      <w:r>
        <w:rPr>
          <w:rFonts w:eastAsia="Calibri" w:cs="Calibri"/>
          <w:color w:val="000000"/>
        </w:rPr>
        <w:t>Dimensionnement, 2 à 3 personnes, minimum souhaité.</w:t>
      </w:r>
      <w:r>
        <w:rPr>
          <w:rFonts w:eastAsia="Calibri" w:cs="Calibri"/>
        </w:rPr>
      </w:r>
    </w:p>
    <w:p>
      <w:pPr>
        <w:spacing w:before="0" w:after="200" w:line="276" w:lineRule="exact"/>
        <w:rPr>
          <w:rFonts w:eastAsia="Calibri" w:cs="Calibri"/>
        </w:rPr>
      </w:pPr>
      <w:r>
        <w:rPr>
          <w:rFonts w:eastAsia="Calibri" w:cs="Calibri"/>
          <w:color w:val="000000"/>
        </w:rPr>
        <w:t>Toutes les fonctions support sont très bien couvertes, ce qui est une sécurité pour la direction.</w:t>
      </w:r>
      <w:r>
        <w:rPr>
          <w:rFonts w:eastAsia="Calibri" w:cs="Calibri"/>
        </w:rPr>
      </w:r>
    </w:p>
    <w:p>
      <w:pPr>
        <w:spacing w:before="0" w:after="200" w:line="276" w:lineRule="exact"/>
        <w:rPr>
          <w:rFonts w:eastAsia="Calibri" w:cs="Calibri"/>
        </w:rPr>
      </w:pPr>
      <w:r>
        <w:rPr>
          <w:rFonts w:eastAsia="Calibri" w:cs="Calibri"/>
          <w:color w:val="000000"/>
        </w:rPr>
        <w:t>Importance de l'encadrement intermédiaire, avoir des référents sur les compétences techniques pour exercer son activité de façon correcte. Double rôle de compétences, mais aussi de donner goût aux salariés, pour qu'ils fassent des choses qu'ils n'auraient jamais imaginé faire.</w:t>
      </w:r>
      <w:r>
        <w:rPr>
          <w:rFonts w:eastAsia="Calibri" w:cs="Calibri"/>
        </w:rPr>
      </w:r>
    </w:p>
    <w:p>
      <w:pPr>
        <w:spacing w:before="0" w:after="200" w:line="276" w:lineRule="exact"/>
        <w:rPr>
          <w:rFonts w:eastAsia="Calibri" w:cs="Calibri"/>
        </w:rPr>
      </w:pPr>
      <w:r>
        <w:rPr>
          <w:rFonts w:eastAsia="Calibri" w:cs="Calibri"/>
          <w:color w:val="000000"/>
        </w:rPr>
        <w:t>Avoir des références sur les pratiques managériales en matière de ressources humaines.</w:t>
      </w:r>
      <w:r>
        <w:rPr>
          <w:rFonts w:eastAsia="Calibri" w:cs="Calibri"/>
        </w:rPr>
      </w:r>
    </w:p>
    <w:p>
      <w:pPr>
        <w:spacing w:before="0" w:after="200" w:line="276" w:lineRule="exact"/>
        <w:rPr>
          <w:rFonts w:eastAsia="Calibri" w:cs="Calibri"/>
          <w:b/>
        </w:rPr>
      </w:pPr>
      <w:r>
        <w:rPr>
          <w:rFonts w:eastAsia="Calibri" w:cs="Calibri"/>
          <w:b/>
          <w:color w:val="000000"/>
        </w:rPr>
        <w:t>Rennes, Nantes Bottière et Bellevue, Rezé</w:t>
      </w:r>
      <w:r>
        <w:rPr>
          <w:rFonts w:eastAsia="Calibri" w:cs="Calibri"/>
          <w:b/>
        </w:rPr>
      </w:r>
    </w:p>
    <w:p>
      <w:pPr>
        <w:spacing w:before="0" w:after="200" w:line="276" w:lineRule="exact"/>
        <w:rPr>
          <w:rFonts w:eastAsia="Calibri" w:cs="Calibri"/>
        </w:rPr>
      </w:pPr>
      <w:r>
        <w:rPr>
          <w:rFonts w:eastAsia="Calibri" w:cs="Calibri"/>
          <w:b/>
          <w:color w:val="000000"/>
        </w:rPr>
        <w:t xml:space="preserve">Pour compléter : </w:t>
      </w:r>
      <w:r>
        <w:rPr>
          <w:rFonts w:eastAsia="Calibri" w:cs="Calibri"/>
          <w:color w:val="000000"/>
        </w:rPr>
        <w:t xml:space="preserve">anticiper au maximum le recrutemnet de la direction par le financement. Rennes visait 12 mois mais ça n'a pas été la réalité. </w:t>
      </w:r>
      <w:r>
        <w:rPr>
          <w:rFonts w:eastAsia="Calibri" w:cs="Calibri"/>
        </w:rPr>
      </w:r>
    </w:p>
    <w:p>
      <w:pPr>
        <w:spacing w:before="0" w:after="200" w:line="276" w:lineRule="exact"/>
        <w:rPr>
          <w:rFonts w:eastAsia="Calibri" w:cs="Calibri"/>
        </w:rPr>
      </w:pPr>
      <w:r>
        <w:rPr>
          <w:rFonts w:eastAsia="Calibri" w:cs="Calibri"/>
          <w:color w:val="000000"/>
        </w:rPr>
        <w:t>Et recruter le premier encadrant au démarrage pour faciliter la prise de poste des salariés.</w:t>
      </w:r>
      <w:r>
        <w:rPr>
          <w:rFonts w:eastAsia="Calibri" w:cs="Calibri"/>
        </w:rPr>
      </w:r>
    </w:p>
    <w:p>
      <w:pPr>
        <w:spacing w:before="0" w:after="200" w:line="276" w:lineRule="exact"/>
        <w:rPr>
          <w:rFonts w:eastAsia="Calibri" w:cs="Calibri"/>
        </w:rPr>
      </w:pPr>
      <w:r>
        <w:rPr>
          <w:rFonts w:eastAsia="Calibri" w:cs="Calibri"/>
          <w:color w:val="000000"/>
        </w:rPr>
        <w:t xml:space="preserve">Savoir-être: beaucoup d'organisation, mais aussi savoir saisir les opportunités sur le développement d'activités. Polyvalence. Travailler en réseau, avoir du réseau, capacité de représentation externe auprès du CLE, etc. </w:t>
      </w:r>
      <w:r>
        <w:rPr>
          <w:rFonts w:eastAsia="Calibri" w:cs="Calibri"/>
        </w:rPr>
      </w:r>
    </w:p>
    <w:p>
      <w:pPr>
        <w:spacing w:before="0" w:after="200" w:line="276" w:lineRule="exact"/>
        <w:rPr>
          <w:rFonts w:eastAsia="Calibri" w:cs="Calibri"/>
        </w:rPr>
      </w:pPr>
      <w:r>
        <w:rPr>
          <w:rFonts w:eastAsia="Calibri" w:cs="Calibri"/>
          <w:color w:val="000000"/>
        </w:rPr>
        <w:t>Savoir s'appuyer sur les compétences externes, savoir s'entourer.</w:t>
      </w:r>
      <w:r>
        <w:rPr>
          <w:rFonts w:eastAsia="Calibri" w:cs="Calibri"/>
        </w:rPr>
      </w:r>
    </w:p>
    <w:p>
      <w:pPr>
        <w:spacing w:before="0" w:after="200" w:line="276" w:lineRule="exact"/>
        <w:rPr>
          <w:rFonts w:eastAsia="Calibri" w:cs="Calibri"/>
        </w:rPr>
      </w:pPr>
      <w:r>
        <w:rPr>
          <w:rFonts w:eastAsia="Calibri" w:cs="Calibri"/>
          <w:color w:val="000000"/>
        </w:rPr>
        <w:t>Equilibre entre personne ayant l'ancienneté du projet et personne arrivée avant l'ouverture de l'EBE intéressante.</w:t>
      </w:r>
      <w:r>
        <w:rPr>
          <w:rFonts w:eastAsia="Calibri" w:cs="Calibri"/>
        </w:rPr>
      </w:r>
    </w:p>
    <w:p>
      <w:pPr>
        <w:spacing w:before="0" w:after="200" w:line="276" w:lineRule="exact"/>
        <w:rPr>
          <w:rFonts w:eastAsia="Calibri" w:cs="Calibri"/>
        </w:rPr>
      </w:pPr>
      <w:r>
        <w:rPr>
          <w:rFonts w:eastAsia="Calibri" w:cs="Calibri"/>
          <w:color w:val="000000"/>
        </w:rPr>
        <w:t>Bonne entente au sein de l'équipe !</w:t>
      </w:r>
      <w:r>
        <w:rPr>
          <w:rFonts w:eastAsia="Calibri" w:cs="Calibri"/>
        </w:rPr>
      </w:r>
    </w:p>
    <w:p>
      <w:pPr>
        <w:spacing w:before="0" w:after="200" w:line="276" w:lineRule="exact"/>
        <w:rPr>
          <w:rFonts w:eastAsia="Calibri" w:cs="Calibri"/>
        </w:rPr>
      </w:pPr>
      <w:r>
        <w:rPr>
          <w:rFonts w:eastAsia="Calibri" w:cs="Calibri"/>
          <w:color w:val="000000"/>
        </w:rPr>
        <w:t>Sur la rémunération, comme il n'y a pas de convention collective, des projets de rattachement à la convention des ACI, maximum 2,5 par rapport au SMIC dans les pratiques? Il n'y a pas de règle dans l'expérimentation et des écarts qui peuvent être importants d'un territoire à l'autre.</w:t>
      </w:r>
      <w:r>
        <w:rPr>
          <w:rFonts w:eastAsia="Calibri" w:cs="Calibri"/>
        </w:rPr>
      </w:r>
    </w:p>
    <w:p>
      <w:pPr>
        <w:spacing w:before="0" w:after="200" w:line="276" w:lineRule="exact"/>
        <w:rPr>
          <w:rFonts w:eastAsia="Calibri" w:cs="Calibri"/>
          <w:b/>
        </w:rPr>
      </w:pPr>
      <w:r>
        <w:rPr>
          <w:rFonts w:eastAsia="Calibri" w:cs="Calibri"/>
          <w:b/>
          <w:color w:val="000000"/>
        </w:rPr>
        <w:t>OBC, Concarneau, Saint-Méen-le-Grand</w:t>
      </w:r>
      <w:r>
        <w:rPr>
          <w:rFonts w:eastAsia="Calibri" w:cs="Calibri"/>
          <w:b/>
        </w:rPr>
      </w:r>
    </w:p>
    <w:p>
      <w:pPr>
        <w:spacing w:before="0" w:after="200" w:line="276" w:lineRule="exact"/>
        <w:rPr>
          <w:rFonts w:eastAsia="Calibri" w:cs="Calibri"/>
        </w:rPr>
      </w:pPr>
      <w:r>
        <w:rPr>
          <w:rFonts w:eastAsia="Calibri" w:cs="Calibri"/>
          <w:color w:val="000000"/>
        </w:rPr>
        <w:t>Besoin d'encadrants. Le financement le permet, mais c'est aussi un besoin pour développer les activités dont certaines nécessitent de l'encadrement à partir d'une certaine taille.</w:t>
      </w:r>
      <w:r>
        <w:rPr>
          <w:rFonts w:eastAsia="Calibri" w:cs="Calibri"/>
        </w:rPr>
      </w:r>
    </w:p>
    <w:p>
      <w:pPr>
        <w:spacing w:before="0" w:after="200" w:line="276" w:lineRule="exact"/>
        <w:rPr>
          <w:rFonts w:eastAsia="Calibri" w:cs="Calibri"/>
        </w:rPr>
      </w:pPr>
      <w:r>
        <w:rPr>
          <w:rFonts w:eastAsia="Calibri" w:cs="Calibri"/>
          <w:color w:val="000000"/>
        </w:rPr>
        <w:t>Fonction RH, à l'écoute qui s'adapte auprojet, pas la même que dans une entrperise classique. Fonction très importante dans le projet TZCLD, pusiqu'on crée les activités en fonction des personnes de la liste et de leurs compétences.</w:t>
      </w:r>
      <w:r>
        <w:rPr>
          <w:rFonts w:eastAsia="Calibri" w:cs="Calibri"/>
        </w:rPr>
      </w:r>
    </w:p>
    <w:p>
      <w:pPr>
        <w:spacing w:before="0" w:after="200" w:line="276" w:lineRule="exact"/>
        <w:rPr>
          <w:rFonts w:eastAsia="Calibri" w:cs="Calibri"/>
        </w:rPr>
      </w:pPr>
      <w:r>
        <w:rPr>
          <w:rFonts w:eastAsia="Calibri" w:cs="Calibri"/>
          <w:color w:val="000000"/>
        </w:rPr>
        <w:t>L'encadrement va dépendre des activités, des capacités des personnes concernées. Patrice : L'insertion n'est pas la bonne référence en termes d'encadrement, ici le but est l'emploi pas l'insertion, c'est différent, la dynamique est différente. Mais il y a des choses à aller chercher dans l'IAE.</w:t>
      </w:r>
      <w:r>
        <w:rPr>
          <w:rFonts w:eastAsia="Calibri" w:cs="Calibri"/>
        </w:rPr>
      </w:r>
    </w:p>
    <w:p>
      <w:pPr>
        <w:spacing w:before="0" w:after="200" w:line="276" w:lineRule="exact"/>
        <w:rPr>
          <w:rFonts w:eastAsia="Calibri" w:cs="Calibri"/>
        </w:rPr>
      </w:pPr>
      <w:r>
        <w:rPr>
          <w:rFonts w:eastAsia="Calibri" w:cs="Calibri"/>
          <w:color w:val="000000"/>
        </w:rPr>
        <w:t>En EBE, il y a une grosse pressions sur le développement du chiffre d'affaires, ce qui n'est pas le cas pour les ACI.</w:t>
      </w:r>
      <w:r>
        <w:rPr>
          <w:rFonts w:eastAsia="Calibri" w:cs="Calibri"/>
        </w:rPr>
      </w:r>
    </w:p>
    <w:p>
      <w:pPr>
        <w:spacing w:before="0" w:after="200" w:line="276" w:lineRule="exact"/>
        <w:rPr>
          <w:rFonts w:eastAsia="Calibri" w:cs="Calibri"/>
        </w:rPr>
      </w:pPr>
      <w:r>
        <w:rPr>
          <w:rFonts w:eastAsia="Calibri" w:cs="Calibri"/>
          <w:color w:val="000000"/>
        </w:rPr>
        <w:t>Il faut s'adapter, il y a des personnes non autonomes, d'autres qui le sont.</w:t>
      </w:r>
      <w:r>
        <w:rPr>
          <w:rFonts w:eastAsia="Calibri" w:cs="Calibri"/>
        </w:rPr>
      </w:r>
    </w:p>
    <w:p>
      <w:pPr>
        <w:spacing w:before="0" w:after="200" w:line="276" w:lineRule="exact"/>
        <w:rPr>
          <w:rFonts w:eastAsia="Calibri" w:cs="Calibri"/>
          <w:b/>
        </w:rPr>
      </w:pPr>
      <w:r>
        <w:rPr>
          <w:rFonts w:eastAsia="Calibri" w:cs="Calibri"/>
          <w:b/>
          <w:color w:val="000000"/>
        </w:rPr>
        <w:t>Questions</w:t>
      </w:r>
      <w:r>
        <w:rPr>
          <w:rFonts w:eastAsia="Calibri" w:cs="Calibri"/>
          <w:b/>
        </w:rPr>
      </w:r>
    </w:p>
    <w:p>
      <w:pPr>
        <w:spacing w:before="0" w:after="200" w:line="276" w:lineRule="exact"/>
        <w:rPr>
          <w:rFonts w:eastAsia="Calibri" w:cs="Calibri"/>
        </w:rPr>
      </w:pPr>
      <w:r>
        <w:rPr>
          <w:rFonts w:eastAsia="Calibri" w:cs="Calibri"/>
          <w:color w:val="000000"/>
        </w:rPr>
        <w:t>La direction doit-elle aller jusqu'au rôle d'encadrement technique d'activité? Ou est-ce qu'on recrute directement une personne qui fait de l'encadrement métier ?</w:t>
      </w:r>
      <w:r>
        <w:rPr>
          <w:rFonts w:eastAsia="Calibri" w:cs="Calibri"/>
        </w:rPr>
      </w:r>
    </w:p>
    <w:p>
      <w:pPr>
        <w:spacing w:before="0" w:after="200" w:line="276" w:lineRule="exact"/>
        <w:rPr>
          <w:rFonts w:eastAsia="Calibri" w:cs="Calibri"/>
        </w:rPr>
      </w:pPr>
      <w:r>
        <w:rPr>
          <w:rFonts w:eastAsia="Calibri" w:cs="Calibri"/>
          <w:color w:val="000000"/>
        </w:rPr>
        <w:t>Réponse de la future directrice de Rennes: je n'y suis pas favorable. IL faut garder un esprit de proximité entre la direction et les salariés. C'est elle qui accueille, et dont ensuite laisser la place à l'encadrant de proximité.</w:t>
      </w:r>
      <w:r>
        <w:rPr>
          <w:rFonts w:eastAsia="Calibri" w:cs="Calibri"/>
        </w:rPr>
      </w:r>
    </w:p>
    <w:p>
      <w:pPr>
        <w:spacing w:before="0" w:after="200" w:line="276" w:lineRule="exact"/>
        <w:rPr>
          <w:rFonts w:eastAsia="Calibri" w:cs="Calibri"/>
        </w:rPr>
      </w:pPr>
      <w:r>
        <w:rPr>
          <w:rFonts w:eastAsia="Calibri" w:cs="Calibri"/>
          <w:color w:val="000000"/>
        </w:rPr>
        <w:t>Dès lors qu'il y a une multi-activité, la direction devra assumer un minimum d'encadrement. On ne peut pas y échapper.</w:t>
      </w:r>
      <w:r>
        <w:rPr>
          <w:rFonts w:eastAsia="Calibri" w:cs="Calibri"/>
        </w:rPr>
      </w:r>
    </w:p>
    <w:p>
      <w:pPr>
        <w:spacing w:before="0" w:after="200" w:line="276" w:lineRule="exact"/>
        <w:rPr>
          <w:rFonts w:eastAsia="Calibri" w:cs="Calibri"/>
        </w:rPr>
      </w:pPr>
      <w:r>
        <w:rPr>
          <w:rFonts w:eastAsia="Calibri" w:cs="Calibri"/>
          <w:color w:val="000000"/>
        </w:rPr>
        <w:t xml:space="preserve">Retour d'expérience de Pipriac Saint-Ganton, l'absence de recrutement d'encadrant extérieur a permis de monter en responsabilités. C'était un choix contraint mais qui a eu des effets positifs, même s'il y a eu aussi des trous dans la raquette. </w:t>
      </w:r>
      <w:r>
        <w:rPr>
          <w:rFonts w:eastAsia="Calibri" w:cs="Calibri"/>
        </w:rPr>
      </w:r>
    </w:p>
    <w:p>
      <w:pPr>
        <w:spacing w:before="0" w:after="200" w:line="276" w:lineRule="exact"/>
        <w:rPr>
          <w:rFonts w:eastAsia="Calibri" w:cs="Calibri"/>
        </w:rPr>
      </w:pPr>
      <w:r>
        <w:rPr>
          <w:rFonts w:eastAsia="Calibri" w:cs="Calibri"/>
          <w:color w:val="000000"/>
        </w:rPr>
        <w:t>Benoît : Besoin de consignes, feuille de route donnée une fois par an au direction, pour corriger avec les présidents de CLE leur action. Il y a des réunions de pilotage 2 ou 3 fois par an avec le Fonds d'expérimentation.</w:t>
      </w:r>
      <w:r>
        <w:rPr>
          <w:rFonts w:eastAsia="Calibri" w:cs="Calibri"/>
        </w:rPr>
      </w:r>
    </w:p>
    <w:p>
      <w:pPr>
        <w:spacing w:before="0" w:after="200" w:line="276" w:lineRule="exact"/>
        <w:rPr>
          <w:rFonts w:eastAsia="Calibri" w:cs="Calibri"/>
        </w:rPr>
      </w:pPr>
      <w:r>
        <w:rPr>
          <w:rFonts w:eastAsia="Calibri" w:cs="Calibri"/>
          <w:color w:val="000000"/>
        </w:rPr>
        <w:t>Claude  : difficulté à trouver la personne qui accepte cette charge de travail et en même temps un salaire modéré.</w:t>
      </w:r>
      <w:r>
        <w:rPr>
          <w:rFonts w:eastAsia="Calibri" w:cs="Calibri"/>
        </w:rPr>
      </w:r>
    </w:p>
    <w:p>
      <w:pPr>
        <w:spacing w:before="0" w:after="200" w:line="276" w:lineRule="exact"/>
        <w:rPr>
          <w:rFonts w:eastAsia="Calibri" w:cs="Calibri"/>
        </w:rPr>
      </w:pPr>
      <w:r>
        <w:rPr>
          <w:rFonts w:eastAsia="Calibri" w:cs="Calibri"/>
          <w:color w:val="000000"/>
        </w:rPr>
        <w:t>Michel (Ergué) : si on embauche tôt le directeur il faut le financement, il faut démarrer vite les activités pour financer le salaire.</w:t>
      </w:r>
      <w:r>
        <w:rPr>
          <w:rFonts w:eastAsia="Calibri" w:cs="Calibri"/>
        </w:rPr>
      </w:r>
    </w:p>
    <w:p>
      <w:pPr>
        <w:spacing w:before="0" w:after="200" w:line="276" w:lineRule="exact"/>
        <w:rPr>
          <w:rFonts w:eastAsia="Calibri" w:cs="Calibri"/>
        </w:rPr>
      </w:pPr>
      <w:r>
        <w:rPr>
          <w:rFonts w:eastAsia="Calibri" w:cs="Calibri"/>
          <w:color w:val="000000"/>
        </w:rPr>
        <w:t xml:space="preserve">Frédérique : Beaucoup de territoires ont mis en direction des personnes qui faisaient partie de l'équipe projet, mais ça reporte le problème sur l'ingénierie de projet. </w:t>
      </w:r>
      <w:r>
        <w:rPr>
          <w:rFonts w:eastAsia="Calibri" w:cs="Calibri"/>
        </w:rPr>
      </w:r>
    </w:p>
    <w:p>
      <w:pPr>
        <w:spacing w:before="0" w:after="200" w:line="276" w:lineRule="exact"/>
        <w:rPr>
          <w:rFonts w:eastAsia="Calibri" w:cs="Calibri"/>
        </w:rPr>
      </w:pPr>
      <w:r>
        <w:rPr>
          <w:rFonts w:eastAsia="Calibri" w:cs="Calibri"/>
          <w:color w:val="000000"/>
        </w:rPr>
        <w:t>C'est un projet qui nécessite de l'ingénierie de projet, mais les territoires répondent à ce besoin inégalement. D'où l'importance de la fabrique du consensus à ne pas négliger au départ et toujours à entretenir.</w:t>
      </w:r>
      <w:r>
        <w:rPr>
          <w:rFonts w:eastAsia="Calibri" w:cs="Calibri"/>
        </w:rPr>
      </w:r>
    </w:p>
    <w:p>
      <w:pPr>
        <w:spacing w:before="0" w:after="200" w:line="276" w:lineRule="exact"/>
        <w:rPr>
          <w:rFonts w:eastAsia="Calibri" w:cs="Calibri"/>
        </w:rPr>
      </w:pPr>
      <w:r>
        <w:rPr>
          <w:rFonts w:eastAsia="Calibri" w:cs="Calibri"/>
          <w:color w:val="000000"/>
        </w:rPr>
        <w:t>Question : statut des directions, sachant qu'il n'y a pas de connvention collective? Quel choix? Droit du travail ou convention collective Synesi ? Laval a retenu la deuxième option mais le choix reste libre à ce stade.</w:t>
      </w:r>
      <w:r>
        <w:rPr>
          <w:rFonts w:eastAsia="Calibri" w:cs="Calibri"/>
        </w:rPr>
      </w:r>
    </w:p>
    <w:p>
      <w:pPr>
        <w:spacing w:before="0" w:after="200" w:line="276" w:lineRule="exact"/>
        <w:rPr>
          <w:rFonts w:eastAsia="Calibri" w:cs="Calibri"/>
        </w:rPr>
      </w:pPr>
      <w:r>
        <w:rPr>
          <w:rFonts w:eastAsia="Calibri" w:cs="Calibri"/>
        </w:rPr>
      </w:r>
    </w:p>
    <w:p>
      <w:pPr>
        <w:pStyle w:val="para5"/>
        <w:numPr>
          <w:ilvl w:val="1"/>
          <w:numId w:val="1"/>
        </w:numPr>
        <w:ind w:left="340" w:hanging="363"/>
      </w:pPr>
      <w:r>
        <w:t>Témoignage de Pauline Bommé, cheffe de projet à Pont-Château</w:t>
      </w:r>
    </w:p>
    <w:p>
      <w:r>
        <w:t>En lien avec le débat précédent.</w:t>
      </w:r>
    </w:p>
    <w:p>
      <w:r>
        <w:t>À Pont-Château, on est parti pour la direction sur un statut cadre au forfait et une rémunération pas très haute car le financement des postes n’était pas acté à l’époque où on a recruté. Avec le renforcement financier, on peut embaucher les encadrants en fonction des besoins.</w:t>
      </w:r>
    </w:p>
    <w:p>
      <w:r>
        <w:t>Des personnes voulaient prendre des responsabilités mais ne voulaient pas faire de la gestion d’équipe.  D’où les recrutements d’encadrants sur les ateliers couture, bois…</w:t>
      </w:r>
    </w:p>
    <w:p>
      <w:r>
        <w:t>L’articulation CLE- équipe projet – EBE.</w:t>
      </w:r>
    </w:p>
    <w:p>
      <w:r>
        <w:t>On communique beaucoup. L’EBE participe au CLE, à certains comités techniques, par exemple pour la convention entre la SIAE et l’EBE. L’équipe projet est présente dans les réunion d’EBE : CA (c’est dans les statuts), réunions de bureau. L’équipe intervient sur l’accompagnement des slaariés, la supplémentarité des activités, c’est fréquent que des sujets soient liés au CLE.</w:t>
      </w:r>
    </w:p>
    <w:p>
      <w:r>
        <w:t>En parallèle, on s’appelle 1 à 2 fois par semaine pour un point sur les salariés, activités, demandes de financement. L’EP est un gros soutien de l’EBE, ils ont beaucoup de choses à gérer et quand ils peuvent déléguer à l’EP, ça les décharge.</w:t>
      </w:r>
    </w:p>
    <w:p>
      <w:r>
        <w:t>Il y a beaucoup de travail pour l’EP après l’ouverture de l’EBE, recherche des PPDE, consensus, CLE, comités techniques… Un CLE par trimestre sinon on ne peut pas avancer. Les comités techniques continuent, il y a plein de questions qui se posent. Ne pas négliger le temps qu’il faut passer sur ces questions. Toujours besoin aussi de parler aux partenaires qui suivent de loin en ne venant au CLE qu’une fois par trimestre. Besoin de réexpliquer les choses en continu.</w:t>
      </w:r>
    </w:p>
    <w:p>
      <w:r>
        <w:t>C’est la communication entre les deux qui fait qu’on avance ensemble, dans la même direction. Si quelque chose pose question, on s’en parle tout de suite.</w:t>
      </w:r>
    </w:p>
    <w:p>
      <w:r>
        <w:t>Depuis 9 mois, on fonctionne comme ça et ça marche bien.</w:t>
      </w:r>
    </w:p>
    <w:p>
      <w:r>
        <w:t>Dans l’idéal il faudrait au moins deux personnes, mais plus on est nombreux plus on peut prendre le temps sur certaines missions. Je passe beaucoup de temps en soutien à l’EBE, je passe moins de temps sur la création d’activité, je continuer à mobiliser, mais je n’ai pas fait le porte à porte, il y a des gens qu’il faudrait aller chercher. AU moins deux personnes. Il n’y a pas de bénévoles, ils sont là sur les comités techniques ou réunions avec les PPDE, mais ils ne sont pas vraiment là en tant qu’équipe projet.</w:t>
      </w:r>
    </w:p>
    <w:p>
      <w:r>
        <w:t xml:space="preserve">Avant l’habilitation, on faisait jusqu’à 3 groupes par semaine avec Vincent et les personnes, on est repassé à entre 1 ou 3 groupes de travail par semaine, j’en fais beaucoup moins. </w:t>
      </w:r>
    </w:p>
    <w:p>
      <w:r>
        <w:t xml:space="preserve">S’il fallait envisager la création d’une autre entreprise, il faudrait forcément quelqu’un pour faire ce travail de préfiguration. </w:t>
      </w:r>
    </w:p>
    <w:p>
      <w:r>
        <w:t xml:space="preserve">Est-ce que c’est un atout, l’arrivée très tôt de Vincent ? Oui, car les futurs salariés étaient en confiance, ils connaissaient Vincent. Vincent les connaissait, plus facile pour leur intgégration. C’est lui qui a travaillé avec les personnes sur la concrétisation de chaque activité. </w:t>
      </w:r>
    </w:p>
    <w:p>
      <w:r>
        <w:t xml:space="preserve">Quand ils ont ouvert,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On le savait, on nous l’avait dit, mais tant qu’on n’y est pas… On ne pensait pas qu’il y aurait des difficultés avec autant de salariés. Les encadrants techniques ne peuvent pas forcément gérer, ça retombe souvent sur la direction.</w:t>
      </w:r>
    </w:p>
    <w:p>
      <w:r>
        <w:t xml:space="preserve">Observation Lisa : quand on échange avec les équipes de direction, elles sont mises à l’épreuve et ne donne pas l’exemple de ce qu’on vou voilà un test en page 18 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Onuvert, Vincent avait le fil conducteur, savoir pourquoi on aviat choisi tel statut, telle montée en charge. Ça a été le souci de Magalie qui questionnait beaucoup les choix en arrivant et Vincent a pu lui expliquer. </w:t>
      </w:r>
    </w:p>
    <w:p>
      <w:r>
        <w:t>Si les directeurs arrive au moment test de frappel de texte quand je tape très vite c’est très long à réagir de l’ouverture, ils doivent s’adapter à quelque chose qu’ils n’ont pas choisi, ce n’est pas simple.</w:t>
      </w:r>
    </w:p>
    <w:p>
      <w:r>
        <w:t>Pour la continuité de contact avec les clients et partenaires, ça a été moins important, Magali a repris assez facilement les contacts, j’ai fait les RV avec elle quand c’était nécessaire, mais elle a vite pris le relais.</w:t>
      </w:r>
    </w:p>
    <w:p>
      <w:r>
        <w:t>Pour le recrutement, on insistait sur le profil technico-commercial, volonté du bureau. Mais on avait les activités, le plus important est l’aspect social et humain, la prise en compte des difficultés des personnes et l’adaptation. C’est ce qui prend du temps au directeurs, malgré les encadrants, on tape souvent à leur porte, beaucoup de temps pour gérer le quotidien des salariés. L’humain est très présent.</w:t>
      </w:r>
    </w:p>
    <w:p>
      <w:r>
        <w:t xml:space="preserve">On le savait, on nous l’avait dit, mais tant qu’on n’y est pas… Ondrai et encore un textt que soit TZCLD pour les salariés. Je trouve dommage de ne pas avoir trouvé de territoire où la direction n’est </w:t>
      </w:r>
    </w:p>
    <w:p>
      <w:r>
        <w:t>Moi, c’est l’objet de cet après-midi, la deuxième phase reste expérimentale, je suis convaincu qu’avec plus de moyens on s’y retrouve à long terme.</w:t>
      </w:r>
    </w:p>
    <w:p>
      <w:r>
        <w:t>Pauline, faiblesse du bureau qui n’était pas dans l’opérationnel, la direction a manqué se soutien. Importance de mettre dans le bureau des personnes qui peuvent soutenir sur le stratégique pour que la direction ne se trouve pas seule à prendre toutes les décisions.</w:t>
      </w:r>
    </w:p>
    <w:p>
      <w:r>
        <w:t>Frédérique, il faut en effet regarder de plus près la gouvernance, derrière le terme « direction »</w:t>
      </w:r>
    </w:p>
    <w:p>
      <w:r>
        <w:t>Moi parallèle avec le lien equipe projet CLE, regarder finement toutes les entités du rpoejtj pour étudier les relations entre chacun, gouvernance locale, prochain sujet à prendre en grappe.</w:t>
      </w:r>
    </w:p>
    <w:p>
      <w:r>
        <w:t>Question sur la parité des équipes de direction :</w:t>
      </w:r>
    </w:p>
    <w:p>
      <w:r>
        <w:t>Frédérique : en formation direction d’EBE, 1ère 30 %, deuxième 20 %, troisième 50 %</w:t>
      </w:r>
    </w:p>
    <w:p>
      <w:r>
        <w:t>Denis : et sur les chefs de projet, c’est l’inverse, largement !dfsdfsdf je ne sais pas si test de frappe</w:t>
      </w:r>
    </w:p>
    <w:p>
      <w:pPr>
        <w:pStyle w:val="para3"/>
        <w:numPr>
          <w:ilvl w:val="0"/>
          <w:numId w:val="3"/>
        </w:numPr>
        <w:ind w:left="0" w:firstLine="0"/>
        <w:tabs defTabSz="708">
          <w:tab w:val="left" w:pos="0" w:leader="none"/>
          <w:tab w:val="left" w:pos="10044" w:leader="none"/>
        </w:tabs>
      </w:pPr>
      <w:bookmarkStart w:id="51" w:name="__RefHeading___Toc1052_3697335794"/>
      <w:r/>
      <w:bookmarkEnd w:id="51"/>
      <w:r>
        <w:t>Agenda</w:t>
        <w:tab/>
      </w:r>
    </w:p>
    <w:p>
      <w:pPr>
        <w:numPr>
          <w:ilvl w:val="0"/>
          <w:numId w:val="4"/>
        </w:numPr>
        <w:ind w:left="720" w:hanging="360"/>
      </w:pPr>
      <w:r>
        <w:rPr>
          <w:b/>
          <w:bCs/>
        </w:rPr>
        <w:t>2022</w:t>
      </w:r>
      <w:r>
        <w:t> : 1</w:t>
      </w:r>
      <w:r>
        <w:rPr>
          <w:vertAlign w:val="superscript"/>
        </w:rPr>
        <w:t>er</w:t>
      </w:r>
      <w:r>
        <w:t xml:space="preserve"> décembre à Dinan</w:t>
      </w:r>
    </w:p>
    <w:p>
      <w:pPr>
        <w:numPr>
          <w:ilvl w:val="0"/>
          <w:numId w:val="4"/>
        </w:numPr>
        <w:ind w:left="720" w:hanging="360"/>
      </w:pPr>
      <w:r>
        <w:rPr>
          <w:b/>
          <w:bCs/>
        </w:rPr>
        <w:t>2023</w:t>
      </w:r>
      <w:r>
        <w:t xml:space="preserve"> : vendredi 3 février en Pays de la Loire, jeudi 13 avril, jeudi 6 juillet, jeudi 15 octobre et jeudi 14 décembre. Je » › ne sais pas d’où il vient et où il va dfsdf </w:t>
      </w:r>
    </w:p>
    <w:p>
      <w:r/>
    </w:p>
    <w:sectPr>
      <w:footnotePr>
        <w:pos w:val="pageBottom"/>
        <w:numFmt w:val="decimal"/>
        <w:numStart w:val="1"/>
        <w:numRestart w:val="continuous"/>
      </w:footnotePr>
      <w:endnotePr>
        <w:pos w:val="docEnd"/>
        <w:numFmt w:val="lowerRoman"/>
        <w:numStart w:val="1"/>
        <w:numRestart w:val="continuous"/>
      </w:endnotePr>
      <w:headerReference w:type="default" r:id="rId11"/>
      <w:footerReference w:type="default" r:id="rId12"/>
      <w:type w:val="nextPage"/>
      <w:pgSz w:h="16860" w:w="11923"/>
      <w:pgMar w:left="1133" w:top="1117" w:right="1111" w:bottom="1474" w:header="0" w:footer="1417"/>
      <w:paperSrc w:first="0" w:other="0" a="0" b="0"/>
      <w:pgNumType w:fmt="decimal" w:start="1"/>
      <w:tmGutter w:val="3"/>
      <w:mirrorMargins w:val="0"/>
      <w:tmSection w:h="-2">
        <w:tmHeader w:id="0" w:h="0" edge="0" text="0">
          <w:shd w:val="none"/>
        </w:tmHeader>
        <w:tmFooter w:id="0" w:h="0" edge="1417"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ymbol">
    <w:charset w:val="02"/>
    <w:family w:val="roman"/>
    <w:pitch w:val="default"/>
  </w:font>
  <w:font w:name="Arial">
    <w:charset w:val="00"/>
    <w:family w:val="swiss"/>
    <w:pitch w:val="default"/>
  </w:font>
  <w:font w:name="Liberation Serif">
    <w:charset w:val="00"/>
    <w:family w:val="roman"/>
    <w:pitch w:val="default"/>
  </w:font>
  <w:font w:name="Calibri">
    <w:charset w:val="00"/>
    <w:family w:val="swiss"/>
    <w:pitch w:val="default"/>
  </w:font>
  <w:font w:name="OpenSymbol">
    <w:charset w:val="00"/>
    <w:family w:val="roman"/>
    <w:pitch w:val="default"/>
  </w:font>
  <w:font w:name="Liberation Sans">
    <w:charset w:val="00"/>
    <w:family w:val="roman"/>
    <w:pitch w:val="default"/>
  </w:font>
  <w:font w:name="Wingdings">
    <w:charset w:val="02"/>
    <w:family w:val="auto"/>
    <w:pitch w:val="default"/>
  </w:font>
  <w:font w:name="WenQuanYi Micro Hei">
    <w:charset w:val="00"/>
    <w:family w:val="roman"/>
    <w:pitch w:val="default"/>
  </w:font>
  <w:font w:name="FreeSans">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spacing/>
      <w:jc w:val="right"/>
      <w:tabs defTabSz="708">
        <w:tab w:val="center" w:pos="4536" w:leader="none"/>
        <w:tab w:val="right" w:pos="9072" w:leader="none"/>
      </w:tabs>
    </w:pPr>
    <w:r>
      <w:rPr>
        <w:noProof/>
      </w:rPr>
      <w:drawing>
        <wp:anchor distT="0" distB="0" distL="0" distR="0" simplePos="0" relativeHeight="251659265" behindDoc="1" locked="0" layoutInCell="0" hidden="0" allowOverlap="1">
          <wp:simplePos x="0" y="0"/>
          <wp:positionH relativeFrom="column">
            <wp:posOffset>114300</wp:posOffset>
          </wp:positionH>
          <wp:positionV relativeFrom="paragraph">
            <wp:posOffset>191770</wp:posOffset>
          </wp:positionV>
          <wp:extent cx="4953000" cy="726440"/>
          <wp:effectExtent l="0" t="0" r="0" b="0"/>
          <wp:wrapSquare wrapText="bothSides"/>
          <wp:docPr id="1025"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image2.jpg"/>
                  <pic:cNvPicPr>
                    <a:picLocks noChangeAspect="1"/>
                    <a:extLst>
                      <a:ext uri="smNativeData">
                        <sm:smNativeData xmlns:sm="smNativeData" val="SMDATA_17_uO21Y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CIAACAAAAAAAAAAAAAAAAIAAAC0AAAAAAAAAAIAAAAuAQAAeB4AAHgEAAAAAAAAIQUAAKM7AAAoAAAACAAAAAEAAAABAAAAMAAAABQAAAAAAAAAAAD//wAAAQAAAP//AAABAA=="/>
                      </a:ext>
                    </a:extLst>
                  </pic:cNvPicPr>
                </pic:nvPicPr>
                <pic:blipFill>
                  <a:blip r:embed="rId1"/>
                  <a:stretch>
                    <a:fillRect/>
                  </a:stretch>
                </pic:blipFill>
                <pic:spPr>
                  <a:xfrm>
                    <a:off x="0" y="0"/>
                    <a:ext cx="4953000" cy="726440"/>
                  </a:xfrm>
                  <a:prstGeom prst="rect">
                    <a:avLst/>
                  </a:prstGeom>
                  <a:noFill/>
                  <a:ln w="9525">
                    <a:noFill/>
                  </a:ln>
                </pic:spPr>
              </pic:pic>
            </a:graphicData>
          </a:graphic>
        </wp:anchor>
      </w:drawing>
    </w:r>
    <w:r>
      <w:rPr>
        <w:color w:val="000000"/>
      </w:rPr>
      <w:t xml:space="preserve">Page </w:t>
    </w:r>
    <w:r/>
    <w:r>
      <w:fldChar w:fldCharType="begin"/>
      <w:instrText xml:space="preserve"> PAGE </w:instrText>
      <w:fldChar w:fldCharType="separate"/>
      <w:t>9</w:t>
      <w:fldChar w:fldCharType="end"/>
    </w:r>
    <w:r>
      <w:rPr>
        <w:color w:val="000000"/>
      </w:rPr>
      <w:t xml:space="preserve"> sur </w:t>
    </w:r>
    <w:r/>
    <w:r>
      <w:fldChar w:fldCharType="begin"/>
      <w:instrText xml:space="preserve"> NUMPAGES </w:instrText>
      <w:fldChar w:fldCharType="separate"/>
      <w:t>21</w:t>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2">
    <w:p>
      <w:pPr>
        <w:pStyle w:val="para19"/>
        <w:widowControl w:val="0"/>
      </w:pPr>
      <w:r>
        <w:rPr>
          <w:rStyle w:val="char5"/>
        </w:rPr>
      </w:r>
      <w:r>
        <w:rPr>
          <w:rStyle w:val="char5"/>
        </w:rPr>
        <w:footnoteRef/>
      </w:r>
      <w:r>
        <w:rPr>
          <w:color w:val="000000"/>
          <w:szCs w:val="18"/>
        </w:rPr>
        <w:tab/>
        <w:t xml:space="preserve">Territoire </w:t>
      </w:r>
      <w:r>
        <w:rPr>
          <w:color w:val="000000"/>
          <w:sz w:val="20"/>
          <w:szCs w:val="20"/>
        </w:rPr>
        <w:t>h</w:t>
      </w:r>
      <w:r>
        <w:rPr>
          <w:color w:val="000000"/>
          <w:szCs w:val="18"/>
        </w:rPr>
        <w:t>abilité</w:t>
      </w:r>
      <w:r/>
    </w:p>
  </w:footnote>
  <w:footnote w:id="3">
    <w:p>
      <w:pPr>
        <w:pStyle w:val="para19"/>
        <w:widowControl w:val="0"/>
      </w:pPr>
      <w:r>
        <w:rPr>
          <w:rStyle w:val="char5"/>
        </w:rPr>
      </w:r>
      <w:r>
        <w:rPr>
          <w:rStyle w:val="char5"/>
        </w:rPr>
        <w:footnoteRef/>
      </w:r>
      <w:r>
        <w:tab/>
        <w:t>Projet émergent</w:t>
      </w:r>
    </w:p>
  </w:footnote>
  <w:footnote w:id="4">
    <w:p>
      <w:pPr>
        <w:pStyle w:val="para19"/>
        <w:widowControl w:val="0"/>
      </w:pPr>
      <w:r>
        <w:rPr>
          <w:rStyle w:val="char5"/>
        </w:rPr>
      </w:r>
      <w:r>
        <w:rPr>
          <w:rStyle w:val="char5"/>
        </w:rPr>
        <w:footnoteRef/>
      </w:r>
      <w:r>
        <w:rPr>
          <w:color w:val="000000"/>
          <w:szCs w:val="18"/>
        </w:rPr>
        <w:tab/>
        <w:t xml:space="preserve">Territoire </w:t>
      </w:r>
      <w:r>
        <w:rPr>
          <w:color w:val="000000"/>
          <w:sz w:val="20"/>
          <w:szCs w:val="20"/>
        </w:rPr>
        <w:t>i</w:t>
      </w:r>
      <w:r>
        <w:rPr>
          <w:color w:val="000000"/>
          <w:szCs w:val="18"/>
        </w:rPr>
        <w:t>ntéressé</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Liste numérotée 1"/>
    <w:lvl w:ilvl="0">
      <w:start w:val="1"/>
      <w:numFmt w:val="upperRoman"/>
      <w:pStyle w:val="para2"/>
      <w:suff w:val="space"/>
      <w:lvlText w:val="%1."/>
      <w:lvlJc w:val="left"/>
      <w:pPr>
        <w:ind w:left="0" w:hanging="0"/>
      </w:pPr>
    </w:lvl>
    <w:lvl w:ilvl="1">
      <w:start w:val="1"/>
      <w:numFmt w:val="upperLetter"/>
      <w:pStyle w:val="para5"/>
      <w:suff w:val="tab"/>
      <w:lvlText w:val="%2."/>
      <w:lvlJc w:val="left"/>
      <w:pPr>
        <w:ind w:left="360" w:hanging="0"/>
      </w:pPr>
    </w:lvl>
    <w:lvl w:ilvl="2">
      <w:start w:val="1"/>
      <w:numFmt w:val="decimal"/>
      <w:pStyle w:val="para6"/>
      <w:suff w:val="tab"/>
      <w:lvlText w:val="%3."/>
      <w:lvlJc w:val="left"/>
      <w:pPr>
        <w:ind w:left="72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lowerLetter"/>
      <w:pStyle w:val="para7"/>
      <w:suff w:val="tab"/>
      <w:lvlText w:val="(%6)"/>
      <w:lvlJc w:val="left"/>
      <w:pPr>
        <w:ind w:left="1800" w:hanging="0"/>
      </w:pPr>
    </w:lvl>
    <w:lvl w:ilvl="6">
      <w:start w:val="1"/>
      <w:numFmt w:val="lowerRoman"/>
      <w:pStyle w:val="para8"/>
      <w:suff w:val="tab"/>
      <w:lvlText w:val="(%7)"/>
      <w:lvlJc w:val="left"/>
      <w:pPr>
        <w:ind w:left="2160" w:hanging="0"/>
      </w:pPr>
    </w:lvl>
    <w:lvl w:ilvl="7">
      <w:start w:val="1"/>
      <w:numFmt w:val="lowerLetter"/>
      <w:pStyle w:val="para9"/>
      <w:suff w:val="tab"/>
      <w:lvlText w:val="(%8)"/>
      <w:lvlJc w:val="left"/>
      <w:pPr>
        <w:ind w:left="2520" w:hanging="0"/>
      </w:pPr>
    </w:lvl>
    <w:lvl w:ilvl="8">
      <w:start w:val="1"/>
      <w:numFmt w:val="lowerRoman"/>
      <w:pStyle w:val="para10"/>
      <w:suff w:val="tab"/>
      <w:lvlText w:val="(%9)"/>
      <w:lvlJc w:val="left"/>
      <w:pPr>
        <w:ind w:left="2880" w:hanging="0"/>
      </w:pPr>
    </w:lvl>
  </w:abstractNum>
  <w:abstractNum w:abstractNumId="2">
    <w:multiLevelType w:val="hybridMultilevel"/>
    <w:name w:val="Liste numérotée 2"/>
    <w:lvl w:ilvl="0">
      <w:start w:val="1"/>
      <w:numFmt w:val="upperRoman"/>
      <w:pStyle w:val="para3"/>
      <w:suff w:val="space"/>
      <w:lvlText w:val="%1."/>
      <w:lvlJc w:val="left"/>
      <w:pPr>
        <w:ind w:left="0" w:hanging="0"/>
      </w:pPr>
    </w:lvl>
    <w:lvl w:ilvl="1">
      <w:start w:val="1"/>
      <w:numFmt w:val="upperLetter"/>
      <w:suff w:val="tab"/>
      <w:lvlText w:val="%2."/>
      <w:lvlJc w:val="left"/>
      <w:pPr>
        <w:ind w:left="360" w:hanging="0"/>
      </w:pPr>
    </w:lvl>
    <w:lvl w:ilvl="2">
      <w:start w:val="1"/>
      <w:numFmt w:val="decimal"/>
      <w:suff w:val="tab"/>
      <w:lvlText w:val="%3."/>
      <w:lvlJc w:val="left"/>
      <w:pPr>
        <w:ind w:left="720" w:hanging="0"/>
      </w:pPr>
    </w:lvl>
    <w:lvl w:ilvl="3">
      <w:start w:val="1"/>
      <w:numFmt w:val="lowerLetter"/>
      <w:suff w:val="tab"/>
      <w:lvlText w:val="%4)"/>
      <w:lvlJc w:val="left"/>
      <w:pPr>
        <w:ind w:left="1080" w:hanging="0"/>
      </w:pPr>
    </w:lvl>
    <w:lvl w:ilvl="4">
      <w:start w:val="1"/>
      <w:numFmt w:val="decimal"/>
      <w:suff w:val="tab"/>
      <w:lvlText w:val="(%5)"/>
      <w:lvlJc w:val="left"/>
      <w:pPr>
        <w:ind w:left="1440" w:hanging="0"/>
      </w:pPr>
    </w:lvl>
    <w:lvl w:ilvl="5">
      <w:start w:val="1"/>
      <w:numFmt w:val="lowerLetter"/>
      <w:suff w:val="tab"/>
      <w:lvlText w:val="(%6)"/>
      <w:lvlJc w:val="left"/>
      <w:pPr>
        <w:ind w:left="1800" w:hanging="0"/>
      </w:pPr>
    </w:lvl>
    <w:lvl w:ilvl="6">
      <w:start w:val="1"/>
      <w:numFmt w:val="lowerRoman"/>
      <w:suff w:val="tab"/>
      <w:lvlText w:val="(%7)"/>
      <w:lvlJc w:val="left"/>
      <w:pPr>
        <w:ind w:left="2160" w:hanging="0"/>
      </w:pPr>
    </w:lvl>
    <w:lvl w:ilvl="7">
      <w:start w:val="1"/>
      <w:numFmt w:val="lowerLetter"/>
      <w:suff w:val="tab"/>
      <w:lvlText w:val="(%8)"/>
      <w:lvlJc w:val="left"/>
      <w:pPr>
        <w:ind w:left="2520" w:hanging="0"/>
      </w:pPr>
    </w:lvl>
    <w:lvl w:ilvl="8">
      <w:start w:val="1"/>
      <w:numFmt w:val="lowerRoman"/>
      <w:suff w:val="tab"/>
      <w:lvlText w:val="(%9)"/>
      <w:lvlJc w:val="left"/>
      <w:pPr>
        <w:ind w:left="2880" w:hanging="0"/>
      </w:pPr>
    </w:lvl>
  </w:abstractNum>
  <w:abstractNum w:abstractNumId="3">
    <w:multiLevelType w:val="hybridMultilevel"/>
    <w:name w:val="Liste numérotée 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decimal"/>
      <w:suff w:val="nothing"/>
      <w:lvlText w:val="%4) "/>
      <w:lvlJc w:val="left"/>
      <w:pPr>
        <w:ind w:left="0" w:hanging="0"/>
      </w:pPr>
    </w:lvl>
    <w:lvl w:ilvl="4">
      <w:start w:val="1"/>
      <w:numFmt w:val="lowerLetter"/>
      <w:suff w:val="nothing"/>
      <w:lvlText w:val="%5) "/>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4">
    <w:multiLevelType w:val="hybridMultilevel"/>
    <w:name w:val="Liste numérotée 4"/>
    <w:lvl w:ilvl="0">
      <w:numFmt w:val="bullet"/>
      <w:suff w:val="tab"/>
      <w:lvlText w:val="·"/>
      <w:lvlJc w:val="left"/>
      <w:pPr>
        <w:ind w:left="360" w:hanging="0"/>
      </w:pPr>
      <w:rPr>
        <w:rFonts w:ascii="Symbol" w:hAnsi="Symbol" w:cs="Symbol"/>
      </w:rPr>
    </w:lvl>
    <w:lvl w:ilvl="1">
      <w:numFmt w:val="bullet"/>
      <w:suff w:val="tab"/>
      <w:lvlText w:val="◦"/>
      <w:lvlJc w:val="left"/>
      <w:pPr>
        <w:ind w:left="720" w:hanging="0"/>
      </w:pPr>
      <w:rPr>
        <w:rFonts w:ascii="OpenSymbol" w:hAnsi="OpenSymbol" w:cs="OpenSymbol"/>
      </w:rPr>
    </w:lvl>
    <w:lvl w:ilvl="2">
      <w:numFmt w:val="bullet"/>
      <w:suff w:val="tab"/>
      <w:lvlText w:val="▪"/>
      <w:lvlJc w:val="left"/>
      <w:pPr>
        <w:ind w:left="1080" w:hanging="0"/>
      </w:pPr>
      <w:rPr>
        <w:rFonts w:ascii="OpenSymbol" w:hAnsi="OpenSymbol" w:cs="OpenSymbol"/>
      </w:rPr>
    </w:lvl>
    <w:lvl w:ilvl="3">
      <w:numFmt w:val="bullet"/>
      <w:suff w:val="tab"/>
      <w:lvlText w:val="·"/>
      <w:lvlJc w:val="left"/>
      <w:pPr>
        <w:ind w:left="1440" w:hanging="0"/>
      </w:pPr>
      <w:rPr>
        <w:rFonts w:ascii="Symbol" w:hAnsi="Symbol" w:cs="Symbol"/>
      </w:rPr>
    </w:lvl>
    <w:lvl w:ilvl="4">
      <w:numFmt w:val="bullet"/>
      <w:suff w:val="tab"/>
      <w:lvlText w:val="◦"/>
      <w:lvlJc w:val="left"/>
      <w:pPr>
        <w:ind w:left="1800" w:hanging="0"/>
      </w:pPr>
      <w:rPr>
        <w:rFonts w:ascii="OpenSymbol" w:hAnsi="OpenSymbol" w:cs="OpenSymbol"/>
      </w:rPr>
    </w:lvl>
    <w:lvl w:ilvl="5">
      <w:numFmt w:val="bullet"/>
      <w:suff w:val="tab"/>
      <w:lvlText w:val="▪"/>
      <w:lvlJc w:val="left"/>
      <w:pPr>
        <w:ind w:left="2160" w:hanging="0"/>
      </w:pPr>
      <w:rPr>
        <w:rFonts w:ascii="OpenSymbol" w:hAnsi="OpenSymbol" w:cs="OpenSymbol"/>
      </w:rPr>
    </w:lvl>
    <w:lvl w:ilvl="6">
      <w:numFmt w:val="bullet"/>
      <w:suff w:val="tab"/>
      <w:lvlText w:val="·"/>
      <w:lvlJc w:val="left"/>
      <w:pPr>
        <w:ind w:left="2520" w:hanging="0"/>
      </w:pPr>
      <w:rPr>
        <w:rFonts w:ascii="Symbol" w:hAnsi="Symbol" w:cs="Symbol"/>
      </w:rPr>
    </w:lvl>
    <w:lvl w:ilvl="7">
      <w:numFmt w:val="bullet"/>
      <w:suff w:val="tab"/>
      <w:lvlText w:val="◦"/>
      <w:lvlJc w:val="left"/>
      <w:pPr>
        <w:ind w:left="2880" w:hanging="0"/>
      </w:pPr>
      <w:rPr>
        <w:rFonts w:ascii="OpenSymbol" w:hAnsi="OpenSymbol" w:cs="OpenSymbol"/>
      </w:rPr>
    </w:lvl>
    <w:lvl w:ilvl="8">
      <w:numFmt w:val="bullet"/>
      <w:suff w:val="tab"/>
      <w:lvlText w:val="▪"/>
      <w:lvlJc w:val="left"/>
      <w:pPr>
        <w:ind w:left="3240" w:hanging="0"/>
      </w:pPr>
      <w:rPr>
        <w:rFonts w:ascii="OpenSymbol" w:hAnsi="OpenSymbol" w:cs="OpenSymbol"/>
      </w:rPr>
    </w:lvl>
  </w:abstractNum>
  <w:abstractNum w:abstractNumId="5">
    <w:multiLevelType w:val="hybridMultilevel"/>
    <w:name w:val="Liste numérotée 5"/>
    <w:lvl w:ilvl="0">
      <w:numFmt w:val="bullet"/>
      <w:pStyle w:val="para36"/>
      <w:suff w:val="tab"/>
      <w:lvlText w:val=""/>
      <w:lvlJc w:val="left"/>
      <w:pPr>
        <w:ind w:left="0" w:hanging="0"/>
      </w:pPr>
      <w:rPr>
        <w:rFonts w:ascii="Wingdings" w:hAnsi="Wingdings" w:eastAsia="Wingdings" w:cs="Wingdings"/>
      </w:rPr>
    </w:lvl>
    <w:lvl w:ilvl="1">
      <w:numFmt w:val="bullet"/>
      <w:suff w:val="tab"/>
      <w:lvlText w:val="◦"/>
      <w:lvlJc w:val="left"/>
      <w:pPr>
        <w:ind w:left="323" w:hanging="0"/>
      </w:pPr>
      <w:rPr>
        <w:rFonts w:ascii="OpenSymbol" w:hAnsi="OpenSymbol" w:cs="OpenSymbol"/>
      </w:rPr>
    </w:lvl>
    <w:lvl w:ilvl="2">
      <w:start w:val="1"/>
      <w:numFmt w:val="decimal"/>
      <w:suff w:val="tab"/>
      <w:lvlText w:val="%3."/>
      <w:lvlJc w:val="left"/>
      <w:pPr>
        <w:ind w:left="1080" w:hanging="0"/>
      </w:pPr>
    </w:lvl>
    <w:lvl w:ilvl="3">
      <w:start w:val="1"/>
      <w:numFmt w:val="decimal"/>
      <w:suff w:val="tab"/>
      <w:lvlText w:val="%4."/>
      <w:lvlJc w:val="left"/>
      <w:pPr>
        <w:ind w:left="1440" w:hanging="0"/>
      </w:pPr>
    </w:lvl>
    <w:lvl w:ilvl="4">
      <w:start w:val="1"/>
      <w:numFmt w:val="decimal"/>
      <w:suff w:val="tab"/>
      <w:lvlText w:val="%5."/>
      <w:lvlJc w:val="left"/>
      <w:pPr>
        <w:ind w:left="1800" w:hanging="0"/>
      </w:pPr>
    </w:lvl>
    <w:lvl w:ilvl="5">
      <w:start w:val="1"/>
      <w:numFmt w:val="decimal"/>
      <w:suff w:val="tab"/>
      <w:lvlText w:val="%6."/>
      <w:lvlJc w:val="left"/>
      <w:pPr>
        <w:ind w:left="2160" w:hanging="0"/>
      </w:pPr>
    </w:lvl>
    <w:lvl w:ilvl="6">
      <w:start w:val="1"/>
      <w:numFmt w:val="decimal"/>
      <w:suff w:val="tab"/>
      <w:lvlText w:val="%7."/>
      <w:lvlJc w:val="left"/>
      <w:pPr>
        <w:ind w:left="2520" w:hanging="0"/>
      </w:pPr>
    </w:lvl>
    <w:lvl w:ilvl="7">
      <w:start w:val="1"/>
      <w:numFmt w:val="decimal"/>
      <w:suff w:val="tab"/>
      <w:lvlText w:val="%8."/>
      <w:lvlJc w:val="left"/>
      <w:pPr>
        <w:ind w:left="2880" w:hanging="0"/>
      </w:pPr>
    </w:lvl>
    <w:lvl w:ilvl="8">
      <w:start w:val="1"/>
      <w:numFmt w:val="decimal"/>
      <w:suff w:val="tab"/>
      <w:lvlText w:val="%9."/>
      <w:lvlJc w:val="left"/>
      <w:pPr>
        <w:ind w:left="3240" w:hanging="0"/>
      </w:pPr>
    </w:lvl>
  </w:abstractNum>
  <w:abstractNum w:abstractNumId="6">
    <w:multiLevelType w:val="hybridMultilevel"/>
    <w:name w:val="Liste numérotée 6"/>
    <w:lvl w:ilvl="0">
      <w:numFmt w:val="bullet"/>
      <w:suff w:val="tab"/>
      <w:lvlText w:val="·"/>
      <w:lvlJc w:val="left"/>
      <w:pPr>
        <w:ind w:left="0" w:hanging="0"/>
      </w:pPr>
      <w:rPr>
        <w:rFonts w:ascii="Symbol" w:hAnsi="Symbol" w:cs="Symbol"/>
      </w:rPr>
    </w:lvl>
    <w:lvl w:ilvl="1">
      <w:numFmt w:val="bullet"/>
      <w:suff w:val="tab"/>
      <w:lvlText w:val="◦"/>
      <w:lvlJc w:val="left"/>
      <w:pPr>
        <w:ind w:left="360" w:hanging="0"/>
      </w:pPr>
      <w:rPr>
        <w:rFonts w:ascii="OpenSymbol" w:hAnsi="OpenSymbol" w:cs="OpenSymbol"/>
      </w:rPr>
    </w:lvl>
    <w:lvl w:ilvl="2">
      <w:numFmt w:val="bullet"/>
      <w:suff w:val="tab"/>
      <w:lvlText w:val="▪"/>
      <w:lvlJc w:val="left"/>
      <w:pPr>
        <w:ind w:left="720" w:hanging="0"/>
      </w:pPr>
      <w:rPr>
        <w:rFonts w:ascii="OpenSymbol" w:hAnsi="OpenSymbol" w:cs="OpenSymbol"/>
      </w:rPr>
    </w:lvl>
    <w:lvl w:ilvl="3">
      <w:numFmt w:val="bullet"/>
      <w:suff w:val="tab"/>
      <w:lvlText w:val="·"/>
      <w:lvlJc w:val="left"/>
      <w:pPr>
        <w:ind w:left="1080" w:hanging="0"/>
      </w:pPr>
      <w:rPr>
        <w:rFonts w:ascii="Symbol" w:hAnsi="Symbol" w:cs="Symbol"/>
      </w:rPr>
    </w:lvl>
    <w:lvl w:ilvl="4">
      <w:numFmt w:val="bullet"/>
      <w:suff w:val="tab"/>
      <w:lvlText w:val="◦"/>
      <w:lvlJc w:val="left"/>
      <w:pPr>
        <w:ind w:left="1440" w:hanging="0"/>
      </w:pPr>
      <w:rPr>
        <w:rFonts w:ascii="OpenSymbol" w:hAnsi="OpenSymbol" w:cs="OpenSymbol"/>
      </w:rPr>
    </w:lvl>
    <w:lvl w:ilvl="5">
      <w:numFmt w:val="bullet"/>
      <w:suff w:val="tab"/>
      <w:lvlText w:val="▪"/>
      <w:lvlJc w:val="left"/>
      <w:pPr>
        <w:ind w:left="1800" w:hanging="0"/>
      </w:pPr>
      <w:rPr>
        <w:rFonts w:ascii="OpenSymbol" w:hAnsi="OpenSymbol" w:cs="OpenSymbol"/>
      </w:rPr>
    </w:lvl>
    <w:lvl w:ilvl="6">
      <w:numFmt w:val="bullet"/>
      <w:suff w:val="tab"/>
      <w:lvlText w:val="·"/>
      <w:lvlJc w:val="left"/>
      <w:pPr>
        <w:ind w:left="2160" w:hanging="0"/>
      </w:pPr>
      <w:rPr>
        <w:rFonts w:ascii="Symbol" w:hAnsi="Symbol" w:cs="Symbol"/>
      </w:rPr>
    </w:lvl>
    <w:lvl w:ilvl="7">
      <w:numFmt w:val="bullet"/>
      <w:suff w:val="tab"/>
      <w:lvlText w:val="◦"/>
      <w:lvlJc w:val="left"/>
      <w:pPr>
        <w:ind w:left="2520" w:hanging="0"/>
      </w:pPr>
      <w:rPr>
        <w:rFonts w:ascii="OpenSymbol" w:hAnsi="OpenSymbol" w:cs="OpenSymbol"/>
      </w:rPr>
    </w:lvl>
    <w:lvl w:ilvl="8">
      <w:numFmt w:val="bullet"/>
      <w:suff w:val="tab"/>
      <w:lvlText w:val="▪"/>
      <w:lvlJc w:val="left"/>
      <w:pPr>
        <w:ind w:left="2880" w:hanging="0"/>
      </w:pPr>
      <w:rPr>
        <w:rFonts w:ascii="OpenSymbol" w:hAnsi="OpenSymbol" w:cs="OpenSymbol"/>
      </w:rPr>
    </w:lvl>
  </w:abstractNum>
  <w:abstractNum w:abstractNumId="7">
    <w:multiLevelType w:val="hybridMultilevel"/>
    <w:name w:val="Liste numérotée 7"/>
    <w:lvl w:ilvl="0">
      <w:numFmt w:val="bullet"/>
      <w:suff w:val="tab"/>
      <w:lvlText w:val="·"/>
      <w:lvlJc w:val="left"/>
      <w:pPr>
        <w:ind w:left="0" w:hanging="0"/>
      </w:pPr>
      <w:rPr>
        <w:rFonts w:ascii="Symbol" w:hAnsi="Symbol" w:cs="Symbol"/>
      </w:rPr>
    </w:lvl>
    <w:lvl w:ilvl="1">
      <w:numFmt w:val="bullet"/>
      <w:suff w:val="tab"/>
      <w:lvlText w:val="◦"/>
      <w:lvlJc w:val="left"/>
      <w:pPr>
        <w:ind w:left="360" w:hanging="0"/>
      </w:pPr>
      <w:rPr>
        <w:rFonts w:ascii="OpenSymbol" w:hAnsi="OpenSymbol" w:cs="OpenSymbol"/>
      </w:rPr>
    </w:lvl>
    <w:lvl w:ilvl="2">
      <w:numFmt w:val="bullet"/>
      <w:suff w:val="tab"/>
      <w:lvlText w:val="▪"/>
      <w:lvlJc w:val="left"/>
      <w:pPr>
        <w:ind w:left="720" w:hanging="0"/>
      </w:pPr>
      <w:rPr>
        <w:rFonts w:ascii="OpenSymbol" w:hAnsi="OpenSymbol" w:cs="OpenSymbol"/>
      </w:rPr>
    </w:lvl>
    <w:lvl w:ilvl="3">
      <w:numFmt w:val="bullet"/>
      <w:suff w:val="tab"/>
      <w:lvlText w:val="·"/>
      <w:lvlJc w:val="left"/>
      <w:pPr>
        <w:ind w:left="1080" w:hanging="0"/>
      </w:pPr>
      <w:rPr>
        <w:rFonts w:ascii="Symbol" w:hAnsi="Symbol" w:cs="Symbol"/>
      </w:rPr>
    </w:lvl>
    <w:lvl w:ilvl="4">
      <w:numFmt w:val="bullet"/>
      <w:suff w:val="tab"/>
      <w:lvlText w:val="◦"/>
      <w:lvlJc w:val="left"/>
      <w:pPr>
        <w:ind w:left="1440" w:hanging="0"/>
      </w:pPr>
      <w:rPr>
        <w:rFonts w:ascii="OpenSymbol" w:hAnsi="OpenSymbol" w:cs="OpenSymbol"/>
      </w:rPr>
    </w:lvl>
    <w:lvl w:ilvl="5">
      <w:numFmt w:val="bullet"/>
      <w:suff w:val="tab"/>
      <w:lvlText w:val="▪"/>
      <w:lvlJc w:val="left"/>
      <w:pPr>
        <w:ind w:left="1800" w:hanging="0"/>
      </w:pPr>
      <w:rPr>
        <w:rFonts w:ascii="OpenSymbol" w:hAnsi="OpenSymbol" w:cs="OpenSymbol"/>
      </w:rPr>
    </w:lvl>
    <w:lvl w:ilvl="6">
      <w:numFmt w:val="bullet"/>
      <w:suff w:val="tab"/>
      <w:lvlText w:val="·"/>
      <w:lvlJc w:val="left"/>
      <w:pPr>
        <w:ind w:left="2160" w:hanging="0"/>
      </w:pPr>
      <w:rPr>
        <w:rFonts w:ascii="Symbol" w:hAnsi="Symbol" w:cs="Symbol"/>
      </w:rPr>
    </w:lvl>
    <w:lvl w:ilvl="7">
      <w:numFmt w:val="bullet"/>
      <w:suff w:val="tab"/>
      <w:lvlText w:val="◦"/>
      <w:lvlJc w:val="left"/>
      <w:pPr>
        <w:ind w:left="2520" w:hanging="0"/>
      </w:pPr>
      <w:rPr>
        <w:rFonts w:ascii="OpenSymbol" w:hAnsi="OpenSymbol" w:cs="OpenSymbol"/>
      </w:rPr>
    </w:lvl>
    <w:lvl w:ilvl="8">
      <w:numFmt w:val="bullet"/>
      <w:suff w:val="tab"/>
      <w:lvlText w:val="▪"/>
      <w:lvlJc w:val="left"/>
      <w:pPr>
        <w:ind w:left="2880" w:hanging="0"/>
      </w:pPr>
      <w:rPr>
        <w:rFonts w:ascii="OpenSymbol" w:hAnsi="OpenSymbol" w:cs="OpenSymbol"/>
      </w:rPr>
    </w:lvl>
  </w:abstractNum>
  <w:abstractNum w:abstractNumId="8">
    <w:multiLevelType w:val="hybridMultilevel"/>
    <w:name w:val="Liste numérotée 8"/>
    <w:lvl w:ilvl="0">
      <w:numFmt w:val="bullet"/>
      <w:suff w:val="tab"/>
      <w:lvlText w:val="·"/>
      <w:lvlJc w:val="left"/>
      <w:pPr>
        <w:ind w:left="360" w:hanging="0"/>
      </w:pPr>
      <w:rPr>
        <w:rFonts w:ascii="Symbol" w:hAnsi="Symbol" w:cs="Symbol"/>
      </w:rPr>
    </w:lvl>
    <w:lvl w:ilvl="1">
      <w:numFmt w:val="bullet"/>
      <w:suff w:val="tab"/>
      <w:lvlText w:val="◦"/>
      <w:lvlJc w:val="left"/>
      <w:pPr>
        <w:ind w:left="720" w:hanging="0"/>
      </w:pPr>
      <w:rPr>
        <w:rFonts w:ascii="OpenSymbol" w:hAnsi="OpenSymbol" w:cs="OpenSymbol"/>
      </w:rPr>
    </w:lvl>
    <w:lvl w:ilvl="2">
      <w:numFmt w:val="bullet"/>
      <w:suff w:val="tab"/>
      <w:lvlText w:val="▪"/>
      <w:lvlJc w:val="left"/>
      <w:pPr>
        <w:ind w:left="1080" w:hanging="0"/>
      </w:pPr>
      <w:rPr>
        <w:rFonts w:ascii="OpenSymbol" w:hAnsi="OpenSymbol" w:cs="OpenSymbol"/>
      </w:rPr>
    </w:lvl>
    <w:lvl w:ilvl="3">
      <w:numFmt w:val="bullet"/>
      <w:suff w:val="tab"/>
      <w:lvlText w:val="·"/>
      <w:lvlJc w:val="left"/>
      <w:pPr>
        <w:ind w:left="1440" w:hanging="0"/>
      </w:pPr>
      <w:rPr>
        <w:rFonts w:ascii="Symbol" w:hAnsi="Symbol" w:cs="Symbol"/>
      </w:rPr>
    </w:lvl>
    <w:lvl w:ilvl="4">
      <w:numFmt w:val="bullet"/>
      <w:suff w:val="tab"/>
      <w:lvlText w:val="◦"/>
      <w:lvlJc w:val="left"/>
      <w:pPr>
        <w:ind w:left="1800" w:hanging="0"/>
      </w:pPr>
      <w:rPr>
        <w:rFonts w:ascii="OpenSymbol" w:hAnsi="OpenSymbol" w:cs="OpenSymbol"/>
      </w:rPr>
    </w:lvl>
    <w:lvl w:ilvl="5">
      <w:numFmt w:val="bullet"/>
      <w:suff w:val="tab"/>
      <w:lvlText w:val="▪"/>
      <w:lvlJc w:val="left"/>
      <w:pPr>
        <w:ind w:left="2160" w:hanging="0"/>
      </w:pPr>
      <w:rPr>
        <w:rFonts w:ascii="OpenSymbol" w:hAnsi="OpenSymbol" w:cs="OpenSymbol"/>
      </w:rPr>
    </w:lvl>
    <w:lvl w:ilvl="6">
      <w:numFmt w:val="bullet"/>
      <w:suff w:val="tab"/>
      <w:lvlText w:val="·"/>
      <w:lvlJc w:val="left"/>
      <w:pPr>
        <w:ind w:left="2520" w:hanging="0"/>
      </w:pPr>
      <w:rPr>
        <w:rFonts w:ascii="Symbol" w:hAnsi="Symbol" w:cs="Symbol"/>
      </w:rPr>
    </w:lvl>
    <w:lvl w:ilvl="7">
      <w:numFmt w:val="bullet"/>
      <w:suff w:val="tab"/>
      <w:lvlText w:val="◦"/>
      <w:lvlJc w:val="left"/>
      <w:pPr>
        <w:ind w:left="2880" w:hanging="0"/>
      </w:pPr>
      <w:rPr>
        <w:rFonts w:ascii="OpenSymbol" w:hAnsi="OpenSymbol" w:cs="OpenSymbol"/>
      </w:rPr>
    </w:lvl>
    <w:lvl w:ilvl="8">
      <w:numFmt w:val="bullet"/>
      <w:suff w:val="tab"/>
      <w:lvlText w:val="▪"/>
      <w:lvlJc w:val="left"/>
      <w:pPr>
        <w:ind w:left="3240" w:hanging="0"/>
      </w:pPr>
      <w:rPr>
        <w:rFonts w:ascii="OpenSymbol" w:hAnsi="OpenSymbol"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view w:val="print"/>
  <w:defaultTabStop w:val="708"/>
  <w:autoHyphenation w:val="1"/>
  <w:doNotShadeFormData w:val="0"/>
  <w:captions>
    <w:caption w:name="Tableau" w:pos="below" w:numFmt="decimal"/>
    <w:caption w:name="Illustration" w:pos="below" w:numFmt="decimal"/>
    <w:caption w:name="Imag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3073"/>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162"/>
    <w:tmReviewMarkIns w:val="4"/>
    <w:tmReviewColorIns w:val="-1"/>
    <w:tmReviewMarkDel w:val="6"/>
    <w:tmReviewColorDel w:val="-1"/>
    <w:tmReviewMarkFmt w:val="1"/>
    <w:tmReviewColorFmt w:val="-1"/>
    <w:tmReviewMarkLn w:val="1"/>
    <w:tmReviewColorLn w:val="0"/>
    <w:tmReviewToolTip w:val="1"/>
  </w:tmReviewPr>
  <w:tmLastPos>
    <w:tmLastPosPage w:val="10"/>
    <w:tmLastPosSelect w:val="0"/>
    <w:tmLastPosFrameIdx w:val="0"/>
    <w:tmLastPosCaret>
      <w:tmLastPosPgfIdx w:val="171"/>
      <w:tmLastPosIdx w:val="182"/>
    </w:tmLastPosCaret>
    <w:tmLastPosAnchor>
      <w:tmLastPosPgfIdx w:val="0"/>
      <w:tmLastPosIdx w:val="0"/>
    </w:tmLastPosAnchor>
    <w:tmLastPosTblRect w:left="0" w:top="0" w:right="0" w:bottom="0"/>
  </w:tmLastPos>
  <w:tmAppRevision w:date="1672867256" w:val="1060" w:fileVer="342" w:fileVer64="64" w:fileVerOS="3"/>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Arial"/>
        <w:sz w:val="21"/>
        <w:szCs w:val="21"/>
        <w:lang w:val="fr-fr" w:eastAsia="zh-cn" w:bidi="hi-in"/>
      </w:rPr>
    </w:rPrDefault>
    <w:pPrDefault>
      <w:pPr>
        <w:spacing w:before="200" w:line="276" w:lineRule="auto"/>
        <w:jc w:val="both"/>
        <w:suppressAutoHyphens/>
        <w:hyphenationLines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kern w:val="1"/>
    </w:rPr>
  </w:style>
  <w:style w:type="paragraph" w:styleId="para1" w:customStyle="1">
    <w:name w:val="LO-Normal"/>
    <w:qFormat/>
    <w:pPr>
      <w:spacing w:before="0" w:line="240" w:lineRule="auto"/>
    </w:pPr>
    <w:rPr>
      <w:rFonts w:ascii="Arial" w:hAnsi="Arial" w:eastAsia="Arial" w:cs="Arial"/>
      <w:kern w:val="1"/>
      <w:sz w:val="21"/>
      <w:szCs w:val="21"/>
      <w:lang w:val="fr-fr" w:eastAsia="zh-cn" w:bidi="hi-in"/>
    </w:rPr>
  </w:style>
  <w:style w:type="paragraph" w:styleId="para2">
    <w:name w:val="heading 1"/>
    <w:qFormat/>
    <w:basedOn w:val="para1"/>
    <w:next w:val="para0"/>
    <w:pPr>
      <w:numPr>
        <w:ilvl w:val="0"/>
        <w:numId w:val="1"/>
      </w:numPr>
      <w:ind w:left="0" w:firstLine="0"/>
      <w:spacing w:before="1" w:line="276" w:lineRule="auto"/>
      <w:jc w:val="left"/>
      <w:outlineLvl w:val="0"/>
    </w:pPr>
    <w:rPr>
      <w:rFonts w:ascii="Calibri" w:hAnsi="Calibri" w:eastAsia="Calibri" w:cs="Calibri"/>
      <w:color w:val="000000"/>
      <w:sz w:val="22"/>
      <w:szCs w:val="22"/>
      <w:u w:color="ffffff" w:val="single"/>
    </w:rPr>
  </w:style>
  <w:style w:type="paragraph" w:styleId="para3">
    <w:name w:val="heading 2"/>
    <w:qFormat/>
    <w:basedOn w:val="para1"/>
    <w:next w:val="para0"/>
    <w:pPr>
      <w:numPr>
        <w:ilvl w:val="0"/>
        <w:numId w:val="2"/>
      </w:numPr>
      <w:ind w:left="0" w:firstLine="0"/>
      <w:spacing w:before="352" w:after="113" w:line="276" w:lineRule="auto"/>
      <w:keepNext/>
      <w:outlineLvl w:val="0"/>
      <w:keepLines/>
      <w:tabs defTabSz="708">
        <w:tab w:val="left" w:pos="10044"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1B779E" tmshd="6553856, 10385179, 16777215"/>
    </w:pPr>
    <w:rPr>
      <w:b/>
      <w:color w:val="ffffff"/>
      <w:sz w:val="24"/>
      <w:szCs w:val="26"/>
    </w:rPr>
  </w:style>
  <w:style w:type="paragraph" w:styleId="para4">
    <w:name w:val="heading 3"/>
    <w:qFormat/>
    <w:basedOn w:val="para1"/>
    <w:next w:val="para0"/>
    <w:pPr>
      <w:ind w:left="720"/>
      <w:spacing w:before="280" w:after="80"/>
      <w:jc w:val="left"/>
      <w:keepNext/>
      <w:outlineLvl w:val="0"/>
      <w:keepLines/>
    </w:pPr>
    <w:rPr>
      <w:rFonts w:ascii="Calibri" w:hAnsi="Calibri" w:eastAsia="Calibri" w:cs="Calibri"/>
      <w:b/>
      <w:color w:val="000000"/>
      <w:sz w:val="28"/>
      <w:szCs w:val="28"/>
    </w:rPr>
  </w:style>
  <w:style w:type="paragraph" w:styleId="para5">
    <w:name w:val="heading 4"/>
    <w:qFormat/>
    <w:basedOn w:val="para1"/>
    <w:next w:val="para0"/>
    <w:pPr>
      <w:numPr>
        <w:ilvl w:val="1"/>
        <w:numId w:val="1"/>
      </w:numPr>
      <w:ind w:left="340" w:hanging="363"/>
      <w:spacing w:before="295" w:after="40"/>
      <w:keepNext/>
      <w:outlineLvl w:val="1"/>
      <w:keepLines/>
    </w:pPr>
    <w:rPr>
      <w:b/>
      <w:color w:val="1b779e"/>
      <w:sz w:val="24"/>
      <w:szCs w:val="24"/>
    </w:rPr>
  </w:style>
  <w:style w:type="paragraph" w:styleId="para6">
    <w:name w:val="heading 5"/>
    <w:qFormat/>
    <w:basedOn w:val="para1"/>
    <w:next w:val="para0"/>
    <w:pPr>
      <w:numPr>
        <w:ilvl w:val="2"/>
        <w:numId w:val="1"/>
      </w:numPr>
      <w:ind w:left="340" w:hanging="360"/>
      <w:spacing w:before="164"/>
      <w:jc w:val="left"/>
      <w:keepNext/>
      <w:outlineLvl w:val="2"/>
      <w:keepLines/>
    </w:pPr>
    <w:rPr>
      <w:rFonts w:eastAsia="Calibri" w:cs="Calibri"/>
      <w:b/>
      <w:color w:val="b22222"/>
      <w:sz w:val="22"/>
      <w:szCs w:val="22"/>
    </w:rPr>
  </w:style>
  <w:style w:type="paragraph" w:styleId="para7">
    <w:name w:val="heading 6"/>
    <w:qFormat/>
    <w:basedOn w:val="para1"/>
    <w:next w:val="para0"/>
    <w:pPr>
      <w:numPr>
        <w:ilvl w:val="5"/>
        <w:numId w:val="1"/>
      </w:numPr>
      <w:ind w:left="2160" w:hanging="360"/>
      <w:spacing w:before="200" w:after="40"/>
      <w:jc w:val="left"/>
      <w:keepNext/>
      <w:outlineLvl w:val="5"/>
      <w:keepLines/>
    </w:pPr>
    <w:rPr>
      <w:rFonts w:ascii="Calibri" w:hAnsi="Calibri" w:eastAsia="Calibri" w:cs="Calibri"/>
      <w:b/>
      <w:color w:val="000000"/>
      <w:sz w:val="20"/>
      <w:szCs w:val="20"/>
    </w:rPr>
  </w:style>
  <w:style w:type="paragraph" w:styleId="para8">
    <w:name w:val="heading 7"/>
    <w:qFormat/>
    <w:basedOn w:val="para1"/>
    <w:next w:val="para12"/>
    <w:pPr>
      <w:numPr>
        <w:ilvl w:val="6"/>
        <w:numId w:val="1"/>
      </w:numPr>
      <w:ind w:left="2520" w:hanging="360"/>
      <w:spacing w:before="60" w:after="60"/>
      <w:jc w:val="left"/>
      <w:keepNext/>
      <w:outlineLvl w:val="6"/>
      <w:keepLines/>
    </w:pPr>
    <w:rPr>
      <w:rFonts w:ascii="Calibri" w:hAnsi="Calibri" w:eastAsia="Calibri" w:cs="Calibri"/>
      <w:b/>
      <w:bCs/>
      <w:color w:val="000000"/>
      <w:sz w:val="18"/>
      <w:szCs w:val="18"/>
      <w:u w:color="ffffff" w:val="single"/>
    </w:rPr>
  </w:style>
  <w:style w:type="paragraph" w:styleId="para9">
    <w:name w:val="heading 8"/>
    <w:qFormat/>
    <w:basedOn w:val="para1"/>
    <w:next w:val="para12"/>
    <w:pPr>
      <w:numPr>
        <w:ilvl w:val="7"/>
        <w:numId w:val="1"/>
      </w:numPr>
      <w:ind w:left="2880" w:hanging="360"/>
      <w:spacing w:before="60" w:after="60"/>
      <w:jc w:val="left"/>
      <w:keepNext/>
      <w:outlineLvl w:val="7"/>
      <w:keepLines/>
    </w:pPr>
    <w:rPr>
      <w:rFonts w:ascii="Calibri" w:hAnsi="Calibri" w:eastAsia="Calibri" w:cs="Calibri"/>
      <w:b/>
      <w:bCs/>
      <w:i/>
      <w:iCs/>
      <w:color w:val="000000"/>
      <w:sz w:val="18"/>
      <w:szCs w:val="18"/>
      <w:u w:color="ffffff" w:val="single"/>
    </w:rPr>
  </w:style>
  <w:style w:type="paragraph" w:styleId="para10">
    <w:name w:val="heading 9"/>
    <w:qFormat/>
    <w:basedOn w:val="para1"/>
    <w:next w:val="para12"/>
    <w:pPr>
      <w:numPr>
        <w:ilvl w:val="8"/>
        <w:numId w:val="1"/>
      </w:numPr>
      <w:ind w:left="3240" w:hanging="360"/>
      <w:spacing w:before="60" w:after="60"/>
      <w:jc w:val="left"/>
      <w:keepNext/>
      <w:outlineLvl w:val="8"/>
      <w:keepLines/>
    </w:pPr>
    <w:rPr>
      <w:rFonts w:ascii="Calibri" w:hAnsi="Calibri" w:eastAsia="Calibri" w:cs="Calibri"/>
      <w:b/>
      <w:bCs/>
      <w:color w:val="000000"/>
      <w:sz w:val="17"/>
      <w:szCs w:val="17"/>
      <w:u w:color="ffffff" w:val="single"/>
    </w:rPr>
  </w:style>
  <w:style w:type="paragraph" w:styleId="para11">
    <w:name w:val="Title"/>
    <w:qFormat/>
    <w:basedOn w:val="para0"/>
    <w:next w:val="para12"/>
    <w:pPr>
      <w:spacing w:before="240" w:after="120"/>
      <w:keepNext/>
    </w:pPr>
    <w:rPr>
      <w:rFonts w:ascii="Liberation Sans" w:hAnsi="Liberation Sans" w:eastAsia="WenQuanYi Micro Hei" w:cs="FreeSans"/>
      <w:sz w:val="28"/>
      <w:szCs w:val="28"/>
    </w:rPr>
  </w:style>
  <w:style w:type="paragraph" w:styleId="para12">
    <w:name w:val="Body Text"/>
    <w:qFormat/>
    <w:basedOn w:val="para0"/>
    <w:pPr>
      <w:spacing w:before="0" w:after="140"/>
    </w:pPr>
  </w:style>
  <w:style w:type="paragraph" w:styleId="para13">
    <w:name w:val="List"/>
    <w:qFormat/>
    <w:basedOn w:val="para12"/>
    <w:pPr>
      <w:spacing w:after="0"/>
    </w:pPr>
  </w:style>
  <w:style w:type="paragraph" w:styleId="para14">
    <w:name w:val="caption"/>
    <w:qFormat/>
    <w:basedOn w:val="para0"/>
    <w:pPr>
      <w:spacing w:before="120" w:after="120"/>
      <w:suppressLineNumbers/>
    </w:pPr>
    <w:rPr>
      <w:rFonts w:cs="FreeSans"/>
      <w:i/>
      <w:iCs/>
      <w:sz w:val="24"/>
      <w:szCs w:val="24"/>
    </w:rPr>
  </w:style>
  <w:style w:type="paragraph" w:styleId="para15" w:customStyle="1">
    <w:name w:val="Index"/>
    <w:qFormat/>
    <w:basedOn w:val="para0"/>
    <w:pPr>
      <w:suppressLineNumbers/>
    </w:pPr>
    <w:rPr>
      <w:sz w:val="24"/>
    </w:rPr>
  </w:style>
  <w:style w:type="paragraph" w:styleId="para16" w:customStyle="1">
    <w:name w:val="Title"/>
    <w:qFormat/>
    <w:basedOn w:val="para0"/>
    <w:next w:val="para12"/>
    <w:pPr>
      <w:spacing w:before="240" w:after="120"/>
      <w:keepNext/>
    </w:pPr>
    <w:rPr>
      <w:rFonts w:ascii="Liberation Sans" w:hAnsi="Liberation Sans" w:eastAsia="WenQuanYi Micro Hei" w:cs="FreeSans"/>
      <w:sz w:val="28"/>
      <w:szCs w:val="28"/>
    </w:rPr>
  </w:style>
  <w:style w:type="paragraph" w:styleId="para17" w:customStyle="1">
    <w:name w:val="caption"/>
    <w:qFormat/>
    <w:basedOn w:val="para0"/>
    <w:pPr>
      <w:spacing w:before="120" w:after="120"/>
      <w:suppressLineNumbers/>
    </w:pPr>
    <w:rPr>
      <w:rFonts w:cs="FreeSans"/>
      <w:i/>
      <w:iCs/>
      <w:sz w:val="24"/>
      <w:szCs w:val="24"/>
    </w:rPr>
  </w:style>
  <w:style w:type="paragraph" w:styleId="para18" w:customStyle="1">
    <w:name w:val="Contenu de cadre"/>
    <w:qFormat/>
    <w:basedOn w:val="para0"/>
  </w:style>
  <w:style w:type="paragraph" w:styleId="para19">
    <w:name w:val="Footnote Text"/>
    <w:qFormat/>
    <w:basedOn w:val="para0"/>
    <w:pPr>
      <w:spacing w:before="0"/>
    </w:pPr>
    <w:rPr>
      <w:sz w:val="18"/>
    </w:rPr>
  </w:style>
  <w:style w:type="paragraph" w:styleId="para20" w:customStyle="1">
    <w:name w:val="En-tête et pied de page"/>
    <w:qFormat/>
    <w:basedOn w:val="para0"/>
    <w:pPr>
      <w:suppressLineNumbers/>
      <w:tabs defTabSz="708">
        <w:tab w:val="center" w:pos="4819" w:leader="none"/>
        <w:tab w:val="right" w:pos="9638" w:leader="none"/>
      </w:tabs>
    </w:pPr>
  </w:style>
  <w:style w:type="paragraph" w:styleId="para21">
    <w:name w:val="Footer"/>
    <w:qFormat/>
    <w:basedOn w:val="para0"/>
  </w:style>
  <w:style w:type="paragraph" w:styleId="para22" w:customStyle="1">
    <w:name w:val="Contenu de tableau"/>
    <w:qFormat/>
    <w:basedOn w:val="para0"/>
    <w:pPr>
      <w:spacing w:before="0" w:line="240" w:lineRule="auto"/>
      <w:suppressLineNumbers/>
      <w:widowControl w:val="0"/>
    </w:pPr>
  </w:style>
  <w:style w:type="paragraph" w:styleId="para23" w:customStyle="1">
    <w:name w:val="Titre de tableau"/>
    <w:qFormat/>
    <w:basedOn w:val="para22"/>
    <w:pPr>
      <w:spacing/>
      <w:jc w:val="center"/>
    </w:pPr>
    <w:rPr>
      <w:b/>
      <w:bCs/>
    </w:rPr>
  </w:style>
  <w:style w:type="paragraph" w:styleId="para24" w:customStyle="1">
    <w:name w:val="Puce"/>
    <w:qFormat/>
    <w:basedOn w:val="para0"/>
    <w:pPr>
      <w:spacing w:before="0"/>
    </w:pPr>
  </w:style>
  <w:style w:type="paragraph" w:styleId="para25">
    <w:name w:val="Index Heading"/>
    <w:qFormat/>
    <w:basedOn w:val="para1"/>
    <w:pPr>
      <w:spacing/>
      <w:jc w:val="left"/>
      <w:suppressLineNumbers/>
      <w:keepNext/>
      <w:keepLines/>
    </w:pPr>
    <w:rPr>
      <w:rFonts w:ascii="Calibri" w:hAnsi="Calibri" w:eastAsia="Calibri" w:cs="Calibri"/>
      <w:b/>
      <w:bCs/>
      <w:color w:val="000000"/>
      <w:sz w:val="32"/>
      <w:szCs w:val="32"/>
      <w:u w:color="ffffff" w:val="single"/>
    </w:rPr>
  </w:style>
  <w:style w:type="paragraph" w:styleId="para26">
    <w:name w:val="TOA Heading"/>
    <w:qFormat/>
    <w:basedOn w:val="para25"/>
    <w:pPr>
      <w:spacing w:after="200"/>
      <w:jc w:val="center"/>
    </w:pPr>
    <w:rPr>
      <w:rFonts w:ascii="Arial" w:hAnsi="Arial"/>
      <w:color w:val="4682b4"/>
      <w:u w:color="ffffff" w:val="none"/>
    </w:rPr>
  </w:style>
  <w:style w:type="paragraph" w:styleId="para27">
    <w:name w:val="toc 1"/>
    <w:qFormat/>
    <w:basedOn w:val="para15"/>
    <w:pPr>
      <w:tabs defTabSz="708">
        <w:tab w:val="right" w:pos="9638" w:leader="dot"/>
      </w:tabs>
    </w:pPr>
    <w:rPr>
      <w:b/>
      <w:color w:val="226a82"/>
    </w:rPr>
  </w:style>
  <w:style w:type="paragraph" w:styleId="para28">
    <w:name w:val="toc 2"/>
    <w:qFormat/>
    <w:basedOn w:val="para15"/>
    <w:pPr>
      <w:ind w:left="283"/>
      <w:spacing w:before="57"/>
      <w:tabs defTabSz="708">
        <w:tab w:val="right" w:pos="9355" w:leader="dot"/>
      </w:tabs>
    </w:pPr>
    <w:rPr>
      <w:b/>
      <w:sz w:val="21"/>
    </w:rPr>
  </w:style>
  <w:style w:type="paragraph" w:styleId="para29" w:customStyle="1">
    <w:name w:val="Objet sans remplissage"/>
    <w:qFormat/>
    <w:rPr>
      <w:rFonts w:ascii="Arial" w:hAnsi="Arial" w:eastAsia="Arial" w:cs="Arial"/>
      <w:kern w:val="1"/>
      <w:sz w:val="21"/>
      <w:szCs w:val="21"/>
      <w:lang w:val="fr-fr" w:eastAsia="zh-cn" w:bidi="hi-in"/>
    </w:rPr>
  </w:style>
  <w:style w:type="paragraph" w:styleId="para30" w:customStyle="1">
    <w:name w:val="Objet sans remplissage et sans ligne"/>
    <w:qFormat/>
    <w:rPr>
      <w:rFonts w:ascii="Arial" w:hAnsi="Arial" w:eastAsia="Arial" w:cs="Arial"/>
      <w:kern w:val="1"/>
      <w:sz w:val="21"/>
      <w:szCs w:val="21"/>
      <w:lang w:val="fr-fr" w:eastAsia="zh-cn" w:bidi="hi-in"/>
    </w:rPr>
  </w:style>
  <w:style w:type="paragraph" w:styleId="para31" w:customStyle="1">
    <w:name w:val="Texte"/>
    <w:qFormat/>
    <w:basedOn w:val="para0"/>
  </w:style>
  <w:style w:type="paragraph" w:styleId="para32" w:customStyle="1">
    <w:name w:val="Texte A4"/>
    <w:qFormat/>
    <w:basedOn w:val="para31"/>
  </w:style>
  <w:style w:type="paragraph" w:styleId="para33" w:customStyle="1">
    <w:name w:val="Texte A0"/>
    <w:qFormat/>
    <w:basedOn w:val="para31"/>
  </w:style>
  <w:style w:type="paragraph" w:styleId="para34">
    <w:name w:val="toc 3"/>
    <w:qFormat/>
    <w:basedOn w:val="para15"/>
    <w:pPr>
      <w:ind w:left="566"/>
      <w:spacing w:before="0"/>
      <w:tabs defTabSz="708">
        <w:tab w:val="right" w:pos="9072" w:leader="dot"/>
      </w:tabs>
    </w:pPr>
    <w:rPr>
      <w:sz w:val="20"/>
    </w:rPr>
  </w:style>
  <w:style w:type="paragraph" w:styleId="para35">
    <w:name w:val="toc 4"/>
    <w:qFormat/>
    <w:basedOn w:val="para0"/>
    <w:next w:val="para0"/>
    <w:pPr>
      <w:ind w:left="849"/>
      <w:spacing w:before="0"/>
    </w:pPr>
    <w:rPr>
      <w:b/>
      <w:bCs/>
      <w:lang w:eastAsia="fr-fr" w:bidi="fr-fr"/>
    </w:rPr>
  </w:style>
  <w:style w:type="paragraph" w:styleId="para36" w:customStyle="1">
    <w:name w:val="Suite puces"/>
    <w:qFormat/>
    <w:basedOn w:val="para0"/>
    <w:pPr>
      <w:numPr>
        <w:ilvl w:val="0"/>
        <w:numId w:val="5"/>
      </w:numPr>
      <w:ind w:left="360" w:hanging="360"/>
      <w:spacing w:before="0"/>
    </w:pPr>
  </w:style>
  <w:style w:type="paragraph" w:styleId="para37" w:customStyle="1">
    <w:name w:val="Puces"/>
    <w:qFormat/>
    <w:basedOn w:val="para0"/>
    <w:pPr>
      <w:numPr>
        <w:ilvl w:val="0"/>
        <w:numId w:val="5"/>
      </w:numPr>
      <w:ind w:left="0" w:firstLine="0"/>
      <w:spacing w:before="100"/>
    </w:pPr>
  </w:style>
  <w:style w:type="paragraph" w:styleId="para38">
    <w:name w:val="Header"/>
    <w:qFormat/>
    <w:basedOn w:val="para20"/>
  </w:style>
  <w:style w:type="paragraph" w:styleId="para39">
    <w:name w:val="toc 5"/>
    <w:qFormat/>
    <w:basedOn w:val="para0"/>
    <w:next w:val="para0"/>
    <w:pPr>
      <w:ind w:left="1132"/>
      <w:spacing w:before="0"/>
    </w:pPr>
  </w:style>
  <w:style w:type="character" w:styleId="char0" w:default="1">
    <w:name w:val="Default Paragraph Font"/>
  </w:style>
  <w:style w:type="character" w:styleId="char1" w:customStyle="1">
    <w:name w:val="Lien Internet"/>
    <w:rPr>
      <w:color w:val="000080"/>
      <w:u w:color="ffffff" w:val="single"/>
    </w:rPr>
  </w:style>
  <w:style w:type="character" w:styleId="char2" w:customStyle="1">
    <w:name w:val="Saut d'index"/>
  </w:style>
  <w:style w:type="character" w:styleId="char3" w:customStyle="1">
    <w:name w:val="Ancre de note de bas de page"/>
    <w:rPr>
      <w:vertAlign w:val="superscript"/>
    </w:rPr>
  </w:style>
  <w:style w:type="character" w:styleId="char4" w:customStyle="1">
    <w:name w:val="Footnote Characters"/>
    <w:basedOn w:val="char0"/>
    <w:rPr>
      <w:vertAlign w:val="superscript"/>
    </w:rPr>
  </w:style>
  <w:style w:type="character" w:styleId="char5" w:customStyle="1">
    <w:name w:val="Caractères de note de bas de page"/>
  </w:style>
  <w:style w:type="character" w:styleId="char6" w:customStyle="1">
    <w:name w:val="Puces"/>
    <w:rPr>
      <w:rFonts w:ascii="OpenSymbol" w:hAnsi="OpenSymbol" w:eastAsia="OpenSymbol" w:cs="OpenSymbol"/>
    </w:rPr>
  </w:style>
  <w:style w:type="character" w:styleId="char7" w:customStyle="1">
    <w:name w:val="Caractères de numérotation"/>
  </w:style>
  <w:style w:type="character" w:styleId="char8" w:customStyle="1">
    <w:name w:val="Ancre de note de fin"/>
    <w:rPr>
      <w:vertAlign w:val="superscript"/>
    </w:rPr>
  </w:style>
  <w:style w:type="character" w:styleId="char9" w:customStyle="1">
    <w:name w:val="Caractères de note de fin"/>
  </w:style>
  <w:style w:type="table" w:default="1" w:styleId="TableNormal">
    <w:name w:val="Tableau normal"/>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Arial" w:hAnsi="Arial" w:eastAsia="Arial" w:cs="Arial"/>
        <w:sz w:val="21"/>
        <w:szCs w:val="21"/>
        <w:lang w:val="fr-fr" w:eastAsia="zh-cn" w:bidi="hi-in"/>
      </w:rPr>
    </w:rPrDefault>
    <w:pPrDefault>
      <w:pPr>
        <w:spacing w:before="200" w:line="276" w:lineRule="auto"/>
        <w:jc w:val="both"/>
        <w:suppressAutoHyphens/>
        <w:hyphenationLines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kern w:val="1"/>
    </w:rPr>
  </w:style>
  <w:style w:type="paragraph" w:styleId="para1" w:customStyle="1">
    <w:name w:val="LO-Normal"/>
    <w:qFormat/>
    <w:pPr>
      <w:spacing w:before="0" w:line="240" w:lineRule="auto"/>
    </w:pPr>
    <w:rPr>
      <w:rFonts w:ascii="Arial" w:hAnsi="Arial" w:eastAsia="Arial" w:cs="Arial"/>
      <w:kern w:val="1"/>
      <w:sz w:val="21"/>
      <w:szCs w:val="21"/>
      <w:lang w:val="fr-fr" w:eastAsia="zh-cn" w:bidi="hi-in"/>
    </w:rPr>
  </w:style>
  <w:style w:type="paragraph" w:styleId="para2">
    <w:name w:val="heading 1"/>
    <w:qFormat/>
    <w:basedOn w:val="para1"/>
    <w:next w:val="para0"/>
    <w:pPr>
      <w:numPr>
        <w:ilvl w:val="0"/>
        <w:numId w:val="1"/>
      </w:numPr>
      <w:ind w:left="0" w:firstLine="0"/>
      <w:spacing w:before="1" w:line="276" w:lineRule="auto"/>
      <w:jc w:val="left"/>
      <w:outlineLvl w:val="0"/>
    </w:pPr>
    <w:rPr>
      <w:rFonts w:ascii="Calibri" w:hAnsi="Calibri" w:eastAsia="Calibri" w:cs="Calibri"/>
      <w:color w:val="000000"/>
      <w:sz w:val="22"/>
      <w:szCs w:val="22"/>
      <w:u w:color="ffffff" w:val="single"/>
    </w:rPr>
  </w:style>
  <w:style w:type="paragraph" w:styleId="para3">
    <w:name w:val="heading 2"/>
    <w:qFormat/>
    <w:basedOn w:val="para1"/>
    <w:next w:val="para0"/>
    <w:pPr>
      <w:numPr>
        <w:ilvl w:val="0"/>
        <w:numId w:val="2"/>
      </w:numPr>
      <w:ind w:left="0" w:firstLine="0"/>
      <w:spacing w:before="352" w:after="113" w:line="276" w:lineRule="auto"/>
      <w:keepNext/>
      <w:outlineLvl w:val="0"/>
      <w:keepLines/>
      <w:tabs defTabSz="708">
        <w:tab w:val="left" w:pos="10044"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1B779E" tmshd="6553856, 10385179, 16777215"/>
    </w:pPr>
    <w:rPr>
      <w:b/>
      <w:color w:val="ffffff"/>
      <w:sz w:val="24"/>
      <w:szCs w:val="26"/>
    </w:rPr>
  </w:style>
  <w:style w:type="paragraph" w:styleId="para4">
    <w:name w:val="heading 3"/>
    <w:qFormat/>
    <w:basedOn w:val="para1"/>
    <w:next w:val="para0"/>
    <w:pPr>
      <w:ind w:left="720"/>
      <w:spacing w:before="280" w:after="80"/>
      <w:jc w:val="left"/>
      <w:keepNext/>
      <w:outlineLvl w:val="0"/>
      <w:keepLines/>
    </w:pPr>
    <w:rPr>
      <w:rFonts w:ascii="Calibri" w:hAnsi="Calibri" w:eastAsia="Calibri" w:cs="Calibri"/>
      <w:b/>
      <w:color w:val="000000"/>
      <w:sz w:val="28"/>
      <w:szCs w:val="28"/>
    </w:rPr>
  </w:style>
  <w:style w:type="paragraph" w:styleId="para5">
    <w:name w:val="heading 4"/>
    <w:qFormat/>
    <w:basedOn w:val="para1"/>
    <w:next w:val="para0"/>
    <w:pPr>
      <w:numPr>
        <w:ilvl w:val="1"/>
        <w:numId w:val="1"/>
      </w:numPr>
      <w:ind w:left="340" w:hanging="363"/>
      <w:spacing w:before="295" w:after="40"/>
      <w:keepNext/>
      <w:outlineLvl w:val="1"/>
      <w:keepLines/>
    </w:pPr>
    <w:rPr>
      <w:b/>
      <w:color w:val="1b779e"/>
      <w:sz w:val="24"/>
      <w:szCs w:val="24"/>
    </w:rPr>
  </w:style>
  <w:style w:type="paragraph" w:styleId="para6">
    <w:name w:val="heading 5"/>
    <w:qFormat/>
    <w:basedOn w:val="para1"/>
    <w:next w:val="para0"/>
    <w:pPr>
      <w:numPr>
        <w:ilvl w:val="2"/>
        <w:numId w:val="1"/>
      </w:numPr>
      <w:ind w:left="340" w:hanging="360"/>
      <w:spacing w:before="164"/>
      <w:jc w:val="left"/>
      <w:keepNext/>
      <w:outlineLvl w:val="2"/>
      <w:keepLines/>
    </w:pPr>
    <w:rPr>
      <w:rFonts w:eastAsia="Calibri" w:cs="Calibri"/>
      <w:b/>
      <w:color w:val="b22222"/>
      <w:sz w:val="22"/>
      <w:szCs w:val="22"/>
    </w:rPr>
  </w:style>
  <w:style w:type="paragraph" w:styleId="para7">
    <w:name w:val="heading 6"/>
    <w:qFormat/>
    <w:basedOn w:val="para1"/>
    <w:next w:val="para0"/>
    <w:pPr>
      <w:numPr>
        <w:ilvl w:val="5"/>
        <w:numId w:val="1"/>
      </w:numPr>
      <w:ind w:left="2160" w:hanging="360"/>
      <w:spacing w:before="200" w:after="40"/>
      <w:jc w:val="left"/>
      <w:keepNext/>
      <w:outlineLvl w:val="5"/>
      <w:keepLines/>
    </w:pPr>
    <w:rPr>
      <w:rFonts w:ascii="Calibri" w:hAnsi="Calibri" w:eastAsia="Calibri" w:cs="Calibri"/>
      <w:b/>
      <w:color w:val="000000"/>
      <w:sz w:val="20"/>
      <w:szCs w:val="20"/>
    </w:rPr>
  </w:style>
  <w:style w:type="paragraph" w:styleId="para8">
    <w:name w:val="heading 7"/>
    <w:qFormat/>
    <w:basedOn w:val="para1"/>
    <w:next w:val="para12"/>
    <w:pPr>
      <w:numPr>
        <w:ilvl w:val="6"/>
        <w:numId w:val="1"/>
      </w:numPr>
      <w:ind w:left="2520" w:hanging="360"/>
      <w:spacing w:before="60" w:after="60"/>
      <w:jc w:val="left"/>
      <w:keepNext/>
      <w:outlineLvl w:val="6"/>
      <w:keepLines/>
    </w:pPr>
    <w:rPr>
      <w:rFonts w:ascii="Calibri" w:hAnsi="Calibri" w:eastAsia="Calibri" w:cs="Calibri"/>
      <w:b/>
      <w:bCs/>
      <w:color w:val="000000"/>
      <w:sz w:val="18"/>
      <w:szCs w:val="18"/>
      <w:u w:color="ffffff" w:val="single"/>
    </w:rPr>
  </w:style>
  <w:style w:type="paragraph" w:styleId="para9">
    <w:name w:val="heading 8"/>
    <w:qFormat/>
    <w:basedOn w:val="para1"/>
    <w:next w:val="para12"/>
    <w:pPr>
      <w:numPr>
        <w:ilvl w:val="7"/>
        <w:numId w:val="1"/>
      </w:numPr>
      <w:ind w:left="2880" w:hanging="360"/>
      <w:spacing w:before="60" w:after="60"/>
      <w:jc w:val="left"/>
      <w:keepNext/>
      <w:outlineLvl w:val="7"/>
      <w:keepLines/>
    </w:pPr>
    <w:rPr>
      <w:rFonts w:ascii="Calibri" w:hAnsi="Calibri" w:eastAsia="Calibri" w:cs="Calibri"/>
      <w:b/>
      <w:bCs/>
      <w:i/>
      <w:iCs/>
      <w:color w:val="000000"/>
      <w:sz w:val="18"/>
      <w:szCs w:val="18"/>
      <w:u w:color="ffffff" w:val="single"/>
    </w:rPr>
  </w:style>
  <w:style w:type="paragraph" w:styleId="para10">
    <w:name w:val="heading 9"/>
    <w:qFormat/>
    <w:basedOn w:val="para1"/>
    <w:next w:val="para12"/>
    <w:pPr>
      <w:numPr>
        <w:ilvl w:val="8"/>
        <w:numId w:val="1"/>
      </w:numPr>
      <w:ind w:left="3240" w:hanging="360"/>
      <w:spacing w:before="60" w:after="60"/>
      <w:jc w:val="left"/>
      <w:keepNext/>
      <w:outlineLvl w:val="8"/>
      <w:keepLines/>
    </w:pPr>
    <w:rPr>
      <w:rFonts w:ascii="Calibri" w:hAnsi="Calibri" w:eastAsia="Calibri" w:cs="Calibri"/>
      <w:b/>
      <w:bCs/>
      <w:color w:val="000000"/>
      <w:sz w:val="17"/>
      <w:szCs w:val="17"/>
      <w:u w:color="ffffff" w:val="single"/>
    </w:rPr>
  </w:style>
  <w:style w:type="paragraph" w:styleId="para11">
    <w:name w:val="Title"/>
    <w:qFormat/>
    <w:basedOn w:val="para0"/>
    <w:next w:val="para12"/>
    <w:pPr>
      <w:spacing w:before="240" w:after="120"/>
      <w:keepNext/>
    </w:pPr>
    <w:rPr>
      <w:rFonts w:ascii="Liberation Sans" w:hAnsi="Liberation Sans" w:eastAsia="WenQuanYi Micro Hei" w:cs="FreeSans"/>
      <w:sz w:val="28"/>
      <w:szCs w:val="28"/>
    </w:rPr>
  </w:style>
  <w:style w:type="paragraph" w:styleId="para12">
    <w:name w:val="Body Text"/>
    <w:qFormat/>
    <w:basedOn w:val="para0"/>
    <w:pPr>
      <w:spacing w:before="0" w:after="140"/>
    </w:pPr>
  </w:style>
  <w:style w:type="paragraph" w:styleId="para13">
    <w:name w:val="List"/>
    <w:qFormat/>
    <w:basedOn w:val="para12"/>
    <w:pPr>
      <w:spacing w:after="0"/>
    </w:pPr>
  </w:style>
  <w:style w:type="paragraph" w:styleId="para14">
    <w:name w:val="caption"/>
    <w:qFormat/>
    <w:basedOn w:val="para0"/>
    <w:pPr>
      <w:spacing w:before="120" w:after="120"/>
      <w:suppressLineNumbers/>
    </w:pPr>
    <w:rPr>
      <w:rFonts w:cs="FreeSans"/>
      <w:i/>
      <w:iCs/>
      <w:sz w:val="24"/>
      <w:szCs w:val="24"/>
    </w:rPr>
  </w:style>
  <w:style w:type="paragraph" w:styleId="para15" w:customStyle="1">
    <w:name w:val="Index"/>
    <w:qFormat/>
    <w:basedOn w:val="para0"/>
    <w:pPr>
      <w:suppressLineNumbers/>
    </w:pPr>
    <w:rPr>
      <w:sz w:val="24"/>
    </w:rPr>
  </w:style>
  <w:style w:type="paragraph" w:styleId="para16" w:customStyle="1">
    <w:name w:val="Title"/>
    <w:qFormat/>
    <w:basedOn w:val="para0"/>
    <w:next w:val="para12"/>
    <w:pPr>
      <w:spacing w:before="240" w:after="120"/>
      <w:keepNext/>
    </w:pPr>
    <w:rPr>
      <w:rFonts w:ascii="Liberation Sans" w:hAnsi="Liberation Sans" w:eastAsia="WenQuanYi Micro Hei" w:cs="FreeSans"/>
      <w:sz w:val="28"/>
      <w:szCs w:val="28"/>
    </w:rPr>
  </w:style>
  <w:style w:type="paragraph" w:styleId="para17" w:customStyle="1">
    <w:name w:val="caption"/>
    <w:qFormat/>
    <w:basedOn w:val="para0"/>
    <w:pPr>
      <w:spacing w:before="120" w:after="120"/>
      <w:suppressLineNumbers/>
    </w:pPr>
    <w:rPr>
      <w:rFonts w:cs="FreeSans"/>
      <w:i/>
      <w:iCs/>
      <w:sz w:val="24"/>
      <w:szCs w:val="24"/>
    </w:rPr>
  </w:style>
  <w:style w:type="paragraph" w:styleId="para18" w:customStyle="1">
    <w:name w:val="Contenu de cadre"/>
    <w:qFormat/>
    <w:basedOn w:val="para0"/>
  </w:style>
  <w:style w:type="paragraph" w:styleId="para19">
    <w:name w:val="Footnote Text"/>
    <w:qFormat/>
    <w:basedOn w:val="para0"/>
    <w:pPr>
      <w:spacing w:before="0"/>
    </w:pPr>
    <w:rPr>
      <w:sz w:val="18"/>
    </w:rPr>
  </w:style>
  <w:style w:type="paragraph" w:styleId="para20" w:customStyle="1">
    <w:name w:val="En-tête et pied de page"/>
    <w:qFormat/>
    <w:basedOn w:val="para0"/>
    <w:pPr>
      <w:suppressLineNumbers/>
      <w:tabs defTabSz="708">
        <w:tab w:val="center" w:pos="4819" w:leader="none"/>
        <w:tab w:val="right" w:pos="9638" w:leader="none"/>
      </w:tabs>
    </w:pPr>
  </w:style>
  <w:style w:type="paragraph" w:styleId="para21">
    <w:name w:val="Footer"/>
    <w:qFormat/>
    <w:basedOn w:val="para0"/>
  </w:style>
  <w:style w:type="paragraph" w:styleId="para22" w:customStyle="1">
    <w:name w:val="Contenu de tableau"/>
    <w:qFormat/>
    <w:basedOn w:val="para0"/>
    <w:pPr>
      <w:spacing w:before="0" w:line="240" w:lineRule="auto"/>
      <w:suppressLineNumbers/>
      <w:widowControl w:val="0"/>
    </w:pPr>
  </w:style>
  <w:style w:type="paragraph" w:styleId="para23" w:customStyle="1">
    <w:name w:val="Titre de tableau"/>
    <w:qFormat/>
    <w:basedOn w:val="para22"/>
    <w:pPr>
      <w:spacing/>
      <w:jc w:val="center"/>
    </w:pPr>
    <w:rPr>
      <w:b/>
      <w:bCs/>
    </w:rPr>
  </w:style>
  <w:style w:type="paragraph" w:styleId="para24" w:customStyle="1">
    <w:name w:val="Puce"/>
    <w:qFormat/>
    <w:basedOn w:val="para0"/>
    <w:pPr>
      <w:spacing w:before="0"/>
    </w:pPr>
  </w:style>
  <w:style w:type="paragraph" w:styleId="para25">
    <w:name w:val="Index Heading"/>
    <w:qFormat/>
    <w:basedOn w:val="para1"/>
    <w:pPr>
      <w:spacing/>
      <w:jc w:val="left"/>
      <w:suppressLineNumbers/>
      <w:keepNext/>
      <w:keepLines/>
    </w:pPr>
    <w:rPr>
      <w:rFonts w:ascii="Calibri" w:hAnsi="Calibri" w:eastAsia="Calibri" w:cs="Calibri"/>
      <w:b/>
      <w:bCs/>
      <w:color w:val="000000"/>
      <w:sz w:val="32"/>
      <w:szCs w:val="32"/>
      <w:u w:color="ffffff" w:val="single"/>
    </w:rPr>
  </w:style>
  <w:style w:type="paragraph" w:styleId="para26">
    <w:name w:val="TOA Heading"/>
    <w:qFormat/>
    <w:basedOn w:val="para25"/>
    <w:pPr>
      <w:spacing w:after="200"/>
      <w:jc w:val="center"/>
    </w:pPr>
    <w:rPr>
      <w:rFonts w:ascii="Arial" w:hAnsi="Arial"/>
      <w:color w:val="4682b4"/>
      <w:u w:color="ffffff" w:val="none"/>
    </w:rPr>
  </w:style>
  <w:style w:type="paragraph" w:styleId="para27">
    <w:name w:val="toc 1"/>
    <w:qFormat/>
    <w:basedOn w:val="para15"/>
    <w:pPr>
      <w:tabs defTabSz="708">
        <w:tab w:val="right" w:pos="9638" w:leader="dot"/>
      </w:tabs>
    </w:pPr>
    <w:rPr>
      <w:b/>
      <w:color w:val="226a82"/>
    </w:rPr>
  </w:style>
  <w:style w:type="paragraph" w:styleId="para28">
    <w:name w:val="toc 2"/>
    <w:qFormat/>
    <w:basedOn w:val="para15"/>
    <w:pPr>
      <w:ind w:left="283"/>
      <w:spacing w:before="57"/>
      <w:tabs defTabSz="708">
        <w:tab w:val="right" w:pos="9355" w:leader="dot"/>
      </w:tabs>
    </w:pPr>
    <w:rPr>
      <w:b/>
      <w:sz w:val="21"/>
    </w:rPr>
  </w:style>
  <w:style w:type="paragraph" w:styleId="para29" w:customStyle="1">
    <w:name w:val="Objet sans remplissage"/>
    <w:qFormat/>
    <w:rPr>
      <w:rFonts w:ascii="Arial" w:hAnsi="Arial" w:eastAsia="Arial" w:cs="Arial"/>
      <w:kern w:val="1"/>
      <w:sz w:val="21"/>
      <w:szCs w:val="21"/>
      <w:lang w:val="fr-fr" w:eastAsia="zh-cn" w:bidi="hi-in"/>
    </w:rPr>
  </w:style>
  <w:style w:type="paragraph" w:styleId="para30" w:customStyle="1">
    <w:name w:val="Objet sans remplissage et sans ligne"/>
    <w:qFormat/>
    <w:rPr>
      <w:rFonts w:ascii="Arial" w:hAnsi="Arial" w:eastAsia="Arial" w:cs="Arial"/>
      <w:kern w:val="1"/>
      <w:sz w:val="21"/>
      <w:szCs w:val="21"/>
      <w:lang w:val="fr-fr" w:eastAsia="zh-cn" w:bidi="hi-in"/>
    </w:rPr>
  </w:style>
  <w:style w:type="paragraph" w:styleId="para31" w:customStyle="1">
    <w:name w:val="Texte"/>
    <w:qFormat/>
    <w:basedOn w:val="para0"/>
  </w:style>
  <w:style w:type="paragraph" w:styleId="para32" w:customStyle="1">
    <w:name w:val="Texte A4"/>
    <w:qFormat/>
    <w:basedOn w:val="para31"/>
  </w:style>
  <w:style w:type="paragraph" w:styleId="para33" w:customStyle="1">
    <w:name w:val="Texte A0"/>
    <w:qFormat/>
    <w:basedOn w:val="para31"/>
  </w:style>
  <w:style w:type="paragraph" w:styleId="para34">
    <w:name w:val="toc 3"/>
    <w:qFormat/>
    <w:basedOn w:val="para15"/>
    <w:pPr>
      <w:ind w:left="566"/>
      <w:spacing w:before="0"/>
      <w:tabs defTabSz="708">
        <w:tab w:val="right" w:pos="9072" w:leader="dot"/>
      </w:tabs>
    </w:pPr>
    <w:rPr>
      <w:sz w:val="20"/>
    </w:rPr>
  </w:style>
  <w:style w:type="paragraph" w:styleId="para35">
    <w:name w:val="toc 4"/>
    <w:qFormat/>
    <w:basedOn w:val="para0"/>
    <w:next w:val="para0"/>
    <w:pPr>
      <w:ind w:left="849"/>
      <w:spacing w:before="0"/>
    </w:pPr>
    <w:rPr>
      <w:b/>
      <w:bCs/>
      <w:lang w:eastAsia="fr-fr" w:bidi="fr-fr"/>
    </w:rPr>
  </w:style>
  <w:style w:type="paragraph" w:styleId="para36" w:customStyle="1">
    <w:name w:val="Suite puces"/>
    <w:qFormat/>
    <w:basedOn w:val="para0"/>
    <w:pPr>
      <w:numPr>
        <w:ilvl w:val="0"/>
        <w:numId w:val="5"/>
      </w:numPr>
      <w:ind w:left="360" w:hanging="360"/>
      <w:spacing w:before="0"/>
    </w:pPr>
  </w:style>
  <w:style w:type="paragraph" w:styleId="para37" w:customStyle="1">
    <w:name w:val="Puces"/>
    <w:qFormat/>
    <w:basedOn w:val="para0"/>
    <w:pPr>
      <w:numPr>
        <w:ilvl w:val="0"/>
        <w:numId w:val="5"/>
      </w:numPr>
      <w:ind w:left="0" w:firstLine="0"/>
      <w:spacing w:before="100"/>
    </w:pPr>
  </w:style>
  <w:style w:type="paragraph" w:styleId="para38">
    <w:name w:val="Header"/>
    <w:qFormat/>
    <w:basedOn w:val="para20"/>
  </w:style>
  <w:style w:type="paragraph" w:styleId="para39">
    <w:name w:val="toc 5"/>
    <w:qFormat/>
    <w:basedOn w:val="para0"/>
    <w:next w:val="para0"/>
    <w:pPr>
      <w:ind w:left="1132"/>
      <w:spacing w:before="0"/>
    </w:pPr>
  </w:style>
  <w:style w:type="character" w:styleId="char0" w:default="1">
    <w:name w:val="Default Paragraph Font"/>
  </w:style>
  <w:style w:type="character" w:styleId="char1" w:customStyle="1">
    <w:name w:val="Lien Internet"/>
    <w:rPr>
      <w:color w:val="000080"/>
      <w:u w:color="ffffff" w:val="single"/>
    </w:rPr>
  </w:style>
  <w:style w:type="character" w:styleId="char2" w:customStyle="1">
    <w:name w:val="Saut d'index"/>
  </w:style>
  <w:style w:type="character" w:styleId="char3" w:customStyle="1">
    <w:name w:val="Ancre de note de bas de page"/>
    <w:rPr>
      <w:vertAlign w:val="superscript"/>
    </w:rPr>
  </w:style>
  <w:style w:type="character" w:styleId="char4" w:customStyle="1">
    <w:name w:val="Footnote Characters"/>
    <w:basedOn w:val="char0"/>
    <w:rPr>
      <w:vertAlign w:val="superscript"/>
    </w:rPr>
  </w:style>
  <w:style w:type="character" w:styleId="char5" w:customStyle="1">
    <w:name w:val="Caractères de note de bas de page"/>
  </w:style>
  <w:style w:type="character" w:styleId="char6" w:customStyle="1">
    <w:name w:val="Puces"/>
    <w:rPr>
      <w:rFonts w:ascii="OpenSymbol" w:hAnsi="OpenSymbol" w:eastAsia="OpenSymbol" w:cs="OpenSymbol"/>
    </w:rPr>
  </w:style>
  <w:style w:type="character" w:styleId="char7" w:customStyle="1">
    <w:name w:val="Caractères de numérotation"/>
  </w:style>
  <w:style w:type="character" w:styleId="char8" w:customStyle="1">
    <w:name w:val="Ancre de note de fin"/>
    <w:rPr>
      <w:vertAlign w:val="superscript"/>
    </w:rPr>
  </w:style>
  <w:style w:type="character" w:styleId="char9" w:customStyle="1">
    <w:name w:val="Caractères de note de fin"/>
  </w:style>
  <w:style w:type="table" w:default="1" w:styleId="TableNormal">
    <w:name w:val="Tableau normal"/>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png"/><Relationship Id="rId9" Type="http://schemas.openxmlformats.org/officeDocument/2006/relationships/footnotes" Target="footnotes.xml"/><Relationship Id="rId10" Type="http://schemas.openxmlformats.org/officeDocument/2006/relationships/hyperlink" Target="https://www.atd-quartmonde.fr/wp-content/uploads/2021/11/2021_ATDQM_Reussir-la-participationde-toute-et-tous_Guide-pratique-pour-agir.pdf" TargetMode="External"/><Relationship Id="rId11" Type="http://schemas.openxmlformats.org/officeDocument/2006/relationships/header" Target="header1.xml"/><Relationship Id="rId12" Type="http://schemas.openxmlformats.org/officeDocument/2006/relationships/footer" Target="footer1.xml"/></Relationships>
</file>

<file path=word/_rels/footer1.xml.rels><?xml version="1.0" encoding="UTF-8" standalone="yes" ?>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libri"/>
        <a:cs typeface="Calibri"/>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rev.1060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Hery</dc:creator>
  <cp:keywords/>
  <dc:description/>
  <cp:lastModifiedBy>Denis</cp:lastModifiedBy>
  <cp:revision>162</cp:revision>
  <dcterms:created xsi:type="dcterms:W3CDTF">2022-03-09T17:25:00Z</dcterms:created>
  <dcterms:modified xsi:type="dcterms:W3CDTF">2023-01-04T21:20:56Z</dcterms:modified>
</cp:coreProperties>
</file>